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i w:val="0"/>
          <w:color w:val="0F5A50"/>
          <w:sz w:val="24"/>
        </w:rPr>
        <w:t>AUPAM Experts’ Office — Arab GMP Working Group</w:t>
      </w:r>
    </w:p>
    <w:p>
      <w:pPr>
        <w:jc w:val="center"/>
        <w:bidi/>
      </w:pPr>
      <w:r>
        <w:rPr>
          <w:rFonts w:ascii="Arial" w:hAnsi="Arial"/>
          <w:b/>
          <w:i w:val="0"/>
          <w:color w:val="0F5A50"/>
          <w:sz w:val="24"/>
          <w:rtl/>
        </w:rPr>
        <w:t>مكتب خبراء الاتحاد العربي (AUPAM) — لجنة العمل للدليل العربي للممارسات التصنيعية الجيدة</w:t>
      </w:r>
    </w:p>
    <w:p>
      <w:pPr>
        <w:jc w:val="center"/>
      </w:pPr>
      <w:r>
        <w:rPr>
          <w:b/>
          <w:i w:val="0"/>
          <w:color w:val="B6892E"/>
          <w:sz w:val="21"/>
        </w:rPr>
        <w:t>PUBLIC CONSULTATION · OPEN FOR EXPERT COMMENT</w:t>
      </w:r>
    </w:p>
    <w:p>
      <w:pPr>
        <w:jc w:val="center"/>
        <w:bidi/>
      </w:pPr>
      <w:r>
        <w:rPr>
          <w:rFonts w:ascii="Arial" w:hAnsi="Arial"/>
          <w:b/>
          <w:i w:val="0"/>
          <w:color w:val="B6892E"/>
          <w:sz w:val="21"/>
          <w:rtl/>
        </w:rPr>
        <w:t>مشاورة عامة · مفتوحة لتعليقات الخبراء</w:t>
      </w:r>
    </w:p>
    <w:p>
      <w:pPr>
        <w:jc w:val="center"/>
      </w:pPr>
      <w:r>
        <w:rPr>
          <w:b/>
          <w:i w:val="0"/>
          <w:color w:val="0F5A50"/>
          <w:sz w:val="28"/>
        </w:rPr>
        <w:t>The Arab GMP Guideline 2026 — Comment-Submission Form</w:t>
      </w:r>
    </w:p>
    <w:p>
      <w:pPr>
        <w:jc w:val="center"/>
        <w:bidi/>
      </w:pPr>
      <w:r>
        <w:rPr>
          <w:rFonts w:ascii="Arial" w:hAnsi="Arial"/>
          <w:b/>
          <w:i w:val="0"/>
          <w:color w:val="0F5A50"/>
          <w:sz w:val="28"/>
          <w:rtl/>
        </w:rPr>
        <w:t>الدليل العربي للممارسات التصنيعية الجيدة 2026 — نموذج تقديم التعليقات</w:t>
      </w:r>
    </w:p>
    <w:p>
      <w:pPr>
        <w:jc w:val="center"/>
      </w:pPr>
      <w:r>
        <w:rPr>
          <w:b w:val="0"/>
          <w:i/>
          <w:sz w:val="19"/>
        </w:rPr>
        <w:t>Draft for Public Consultation · Version 0.95 · Reference AUPAM/ARB-cGMP/2026 · Consultation period 18 June – 31 October 2026</w:t>
      </w:r>
    </w:p>
    <w:p>
      <w:pPr>
        <w:jc w:val="center"/>
        <w:bidi/>
      </w:pPr>
      <w:r>
        <w:rPr>
          <w:rFonts w:ascii="Arial" w:hAnsi="Arial"/>
          <w:b w:val="0"/>
          <w:i/>
          <w:sz w:val="19"/>
          <w:rtl/>
        </w:rPr>
        <w:t>مسودة للمشاورة العامة · الإصدار 0.95 · المرجع AUPAM/ARB-cGMP/2026 · فترة المشاورة 18 يونيو – 31 أكتوبر 2026</w:t>
      </w:r>
    </w:p>
    <w:p>
      <w:pPr>
        <w:jc w:val="center"/>
      </w:pPr>
      <w:r>
        <w:rPr>
          <w:b w:val="0"/>
          <w:i w:val="0"/>
          <w:sz w:val="19"/>
        </w:rPr>
        <w:t>Comment period closes 31 October 2026. Return the completed form by e-mail to the AUPAM Experts’ Office (experts@aupam.org), attention of the Chairman.</w:t>
      </w:r>
    </w:p>
    <w:p>
      <w:pPr>
        <w:jc w:val="center"/>
        <w:bidi/>
      </w:pPr>
      <w:r>
        <w:rPr>
          <w:rFonts w:ascii="Arial" w:hAnsi="Arial"/>
          <w:b w:val="0"/>
          <w:i w:val="0"/>
          <w:sz w:val="19"/>
          <w:rtl/>
        </w:rPr>
        <w:t>تنتهي فترة التعليق في 31 أكتوبر 2026. تُعاد النماذج المكتملة بالبريد الإلكتروني إلى مكتب خبراء الاتحاد العربي (experts@aupam.org) لعناية رئيس المكتب.</w:t>
      </w:r>
    </w:p>
    <w:p>
      <w:pPr>
        <w:jc w:val="center"/>
      </w:pPr>
      <w:r>
        <w:rPr>
          <w:color w:val="B6892E"/>
          <w:sz w:val="14"/>
        </w:rPr>
        <w:t>————————————————————————————————————————————————————————————</w:t>
      </w:r>
    </w:p>
    <w:p>
      <w:r>
        <w:rPr>
          <w:b/>
          <w:color w:val="0F5A50"/>
          <w:sz w:val="23"/>
        </w:rPr>
        <w:t>Section A — Respondent details</w:t>
      </w:r>
      <w:r>
        <w:rPr>
          <w:rFonts w:ascii="Arial" w:hAnsi="Arial"/>
          <w:b/>
          <w:color w:val="0F5A50"/>
          <w:sz w:val="23"/>
        </w:rPr>
        <w:t xml:space="preserve">    القسم أ — بيانات مقدّم التعليق</w:t>
      </w:r>
    </w:p>
    <w:tbl>
      <w:tblPr>
        <w:tblStyle w:val="TableGrid"/>
        <w:tblW w:type="auto" w:w="0"/>
        <w:tblLook w:firstColumn="1" w:firstRow="1" w:lastColumn="0" w:lastRow="0" w:noHBand="0" w:noVBand="1" w:val="04A0"/>
      </w:tblPr>
      <w:tblGrid>
        <w:gridCol w:w="4535"/>
        <w:gridCol w:w="9638"/>
      </w:tblGrid>
      <w:tr>
        <w:tc>
          <w:tcPr>
            <w:tcW w:type="dxa" w:w="7013"/>
            <w:shd w:val="clear" w:fill="EAF1EF"/>
          </w:tcPr>
          <w:p>
            <w:pPr>
              <w:jc w:val="left"/>
            </w:pPr>
            <w:r/>
            <w:r>
              <w:rPr>
                <w:b/>
                <w:sz w:val="19"/>
              </w:rPr>
              <w:t>Full name</w:t>
            </w:r>
          </w:p>
          <w:p>
            <w:pPr>
              <w:jc w:val="right"/>
              <w:bidi/>
            </w:pPr>
            <w:r>
              <w:rPr>
                <w:rFonts w:ascii="Arial" w:hAnsi="Arial"/>
                <w:b/>
                <w:sz w:val="19"/>
                <w:rtl/>
              </w:rPr>
              <w:t>الاسم الكامل</w:t>
            </w:r>
          </w:p>
        </w:tc>
        <w:tc>
          <w:tcPr>
            <w:tcW w:type="dxa" w:w="7013"/>
          </w:tcPr>
          <w:p>
            <w:r/>
          </w:p>
        </w:tc>
      </w:tr>
      <w:tr>
        <w:tc>
          <w:tcPr>
            <w:tcW w:type="dxa" w:w="7013"/>
            <w:shd w:val="clear" w:fill="EAF1EF"/>
          </w:tcPr>
          <w:p>
            <w:pPr>
              <w:jc w:val="left"/>
            </w:pPr>
            <w:r/>
            <w:r>
              <w:rPr>
                <w:b/>
                <w:sz w:val="19"/>
              </w:rPr>
              <w:t>Title / role</w:t>
            </w:r>
          </w:p>
          <w:p>
            <w:pPr>
              <w:jc w:val="right"/>
              <w:bidi/>
            </w:pPr>
            <w:r>
              <w:rPr>
                <w:rFonts w:ascii="Arial" w:hAnsi="Arial"/>
                <w:b/>
                <w:sz w:val="19"/>
                <w:rtl/>
              </w:rPr>
              <w:t>المسمّى / الصفة</w:t>
            </w:r>
          </w:p>
        </w:tc>
        <w:tc>
          <w:tcPr>
            <w:tcW w:type="dxa" w:w="7013"/>
          </w:tcPr>
          <w:p>
            <w:r/>
          </w:p>
        </w:tc>
      </w:tr>
      <w:tr>
        <w:tc>
          <w:tcPr>
            <w:tcW w:type="dxa" w:w="7013"/>
            <w:shd w:val="clear" w:fill="EAF1EF"/>
          </w:tcPr>
          <w:p>
            <w:pPr>
              <w:jc w:val="left"/>
            </w:pPr>
            <w:r/>
            <w:r>
              <w:rPr>
                <w:b/>
                <w:sz w:val="19"/>
              </w:rPr>
              <w:t>Organisation</w:t>
            </w:r>
          </w:p>
          <w:p>
            <w:pPr>
              <w:jc w:val="right"/>
              <w:bidi/>
            </w:pPr>
            <w:r>
              <w:rPr>
                <w:rFonts w:ascii="Arial" w:hAnsi="Arial"/>
                <w:b/>
                <w:sz w:val="19"/>
                <w:rtl/>
              </w:rPr>
              <w:t>الجهة / المؤسسة</w:t>
            </w:r>
          </w:p>
        </w:tc>
        <w:tc>
          <w:tcPr>
            <w:tcW w:type="dxa" w:w="7013"/>
          </w:tcPr>
          <w:p>
            <w:r/>
          </w:p>
        </w:tc>
      </w:tr>
      <w:tr>
        <w:tc>
          <w:tcPr>
            <w:tcW w:type="dxa" w:w="7013"/>
            <w:shd w:val="clear" w:fill="EAF1EF"/>
          </w:tcPr>
          <w:p>
            <w:pPr>
              <w:jc w:val="left"/>
            </w:pPr>
            <w:r/>
            <w:r>
              <w:rPr>
                <w:b/>
                <w:sz w:val="19"/>
              </w:rPr>
              <w:t>Country</w:t>
            </w:r>
          </w:p>
          <w:p>
            <w:pPr>
              <w:jc w:val="right"/>
              <w:bidi/>
            </w:pPr>
            <w:r>
              <w:rPr>
                <w:rFonts w:ascii="Arial" w:hAnsi="Arial"/>
                <w:b/>
                <w:sz w:val="19"/>
                <w:rtl/>
              </w:rPr>
              <w:t>الدولة</w:t>
            </w:r>
          </w:p>
        </w:tc>
        <w:tc>
          <w:tcPr>
            <w:tcW w:type="dxa" w:w="7013"/>
          </w:tcPr>
          <w:p>
            <w:r/>
          </w:p>
        </w:tc>
      </w:tr>
      <w:tr>
        <w:tc>
          <w:tcPr>
            <w:tcW w:type="dxa" w:w="7013"/>
            <w:shd w:val="clear" w:fill="EAF1EF"/>
          </w:tcPr>
          <w:p>
            <w:pPr>
              <w:jc w:val="left"/>
            </w:pPr>
            <w:r/>
            <w:r>
              <w:rPr>
                <w:b/>
                <w:sz w:val="19"/>
              </w:rPr>
              <w:t>E-mail</w:t>
            </w:r>
          </w:p>
          <w:p>
            <w:pPr>
              <w:jc w:val="right"/>
              <w:bidi/>
            </w:pPr>
            <w:r>
              <w:rPr>
                <w:rFonts w:ascii="Arial" w:hAnsi="Arial"/>
                <w:b/>
                <w:sz w:val="19"/>
                <w:rtl/>
              </w:rPr>
              <w:t>البريد الإلكتروني</w:t>
            </w:r>
          </w:p>
        </w:tc>
        <w:tc>
          <w:tcPr>
            <w:tcW w:type="dxa" w:w="7013"/>
          </w:tcPr>
          <w:p>
            <w:r/>
          </w:p>
        </w:tc>
      </w:tr>
      <w:tr>
        <w:tc>
          <w:tcPr>
            <w:tcW w:type="dxa" w:w="7013"/>
            <w:shd w:val="clear" w:fill="EAF1EF"/>
          </w:tcPr>
          <w:p>
            <w:pPr>
              <w:jc w:val="left"/>
            </w:pPr>
            <w:r/>
            <w:r>
              <w:rPr>
                <w:b/>
                <w:sz w:val="19"/>
              </w:rPr>
              <w:t>Telephone (optional)</w:t>
            </w:r>
          </w:p>
          <w:p>
            <w:pPr>
              <w:jc w:val="right"/>
              <w:bidi/>
            </w:pPr>
            <w:r>
              <w:rPr>
                <w:rFonts w:ascii="Arial" w:hAnsi="Arial"/>
                <w:b/>
                <w:sz w:val="19"/>
                <w:rtl/>
              </w:rPr>
              <w:t>الهاتف (اختياري)</w:t>
            </w:r>
          </w:p>
        </w:tc>
        <w:tc>
          <w:tcPr>
            <w:tcW w:type="dxa" w:w="7013"/>
          </w:tcPr>
          <w:p>
            <w:r/>
          </w:p>
        </w:tc>
      </w:tr>
      <w:tr>
        <w:tc>
          <w:tcPr>
            <w:tcW w:type="dxa" w:w="7013"/>
            <w:shd w:val="clear" w:fill="EAF1EF"/>
          </w:tcPr>
          <w:p>
            <w:pPr>
              <w:jc w:val="left"/>
            </w:pPr>
            <w:r/>
            <w:r>
              <w:rPr>
                <w:b/>
                <w:sz w:val="19"/>
              </w:rPr>
              <w:t>Sector (regulatory · industry · academia · other)</w:t>
            </w:r>
          </w:p>
          <w:p>
            <w:pPr>
              <w:jc w:val="right"/>
              <w:bidi/>
            </w:pPr>
            <w:r>
              <w:rPr>
                <w:rFonts w:ascii="Arial" w:hAnsi="Arial"/>
                <w:b/>
                <w:sz w:val="19"/>
                <w:rtl/>
              </w:rPr>
              <w:t>القطاع (تنظيمي · صناعة · أكاديمي · أخرى)</w:t>
            </w:r>
          </w:p>
        </w:tc>
        <w:tc>
          <w:tcPr>
            <w:tcW w:type="dxa" w:w="7013"/>
          </w:tcPr>
          <w:p>
            <w:r/>
          </w:p>
        </w:tc>
      </w:tr>
      <w:tr>
        <w:tc>
          <w:tcPr>
            <w:tcW w:type="dxa" w:w="7013"/>
            <w:shd w:val="clear" w:fill="EAF1EF"/>
          </w:tcPr>
          <w:p>
            <w:pPr>
              <w:jc w:val="left"/>
            </w:pPr>
            <w:r/>
            <w:r>
              <w:rPr>
                <w:b/>
                <w:sz w:val="19"/>
              </w:rPr>
              <w:t>May we acknowledge you by name? (Yes / No)</w:t>
            </w:r>
          </w:p>
          <w:p>
            <w:pPr>
              <w:jc w:val="right"/>
              <w:bidi/>
            </w:pPr>
            <w:r>
              <w:rPr>
                <w:rFonts w:ascii="Arial" w:hAnsi="Arial"/>
                <w:b/>
                <w:sz w:val="19"/>
                <w:rtl/>
              </w:rPr>
              <w:t>هل توافق على ذكر اسمك ضمن المساهمين؟ (نعم / لا)</w:t>
            </w:r>
          </w:p>
        </w:tc>
        <w:tc>
          <w:tcPr>
            <w:tcW w:type="dxa" w:w="7013"/>
          </w:tcPr>
          <w:p>
            <w:r/>
          </w:p>
        </w:tc>
      </w:tr>
    </w:tbl>
    <w:p>
      <w:r>
        <w:rPr>
          <w:b/>
          <w:color w:val="0F5A50"/>
          <w:sz w:val="23"/>
        </w:rPr>
        <w:t>Section B — How to comment</w:t>
      </w:r>
      <w:r>
        <w:rPr>
          <w:rFonts w:ascii="Arial" w:hAnsi="Arial"/>
          <w:b/>
          <w:color w:val="0F5A50"/>
          <w:sz w:val="23"/>
        </w:rPr>
        <w:t xml:space="preserve">    القسم ب — إرشادات تقديم التعليق</w:t>
      </w:r>
    </w:p>
    <w:p>
      <w:pPr>
        <w:jc w:val="left"/>
      </w:pPr>
      <w:r>
        <w:rPr>
          <w:b w:val="0"/>
          <w:i w:val="0"/>
          <w:sz w:val="18"/>
        </w:rPr>
        <w:t>Submit one comment per row. Reference each comment by Part / Annex and clause number (clause numbers are citable). State the proposed change and a concise rationale, and offer specific replacement wording wherever possible. Comment on the quantitative limit tables (Appendix B) is particularly welcome; reviewers are asked to verify values against the pharmacopoeia and source standard in force. The English text is authoritative.</w:t>
      </w:r>
    </w:p>
    <w:p>
      <w:pPr>
        <w:jc w:val="right"/>
        <w:bidi/>
      </w:pPr>
      <w:r>
        <w:rPr>
          <w:rFonts w:ascii="Arial" w:hAnsi="Arial"/>
          <w:b w:val="0"/>
          <w:i w:val="0"/>
          <w:sz w:val="18"/>
          <w:rtl/>
        </w:rPr>
        <w:t>سجّل تعليقاً واحداً في كل سطر. أسنِد كل تعليق إلى الجزء/الملحق ورقم البند (أرقام البنود قابلة للاستشهاد). وبيّن التعديل المقترح ومبرّراً موجزاً، واقترح صياغة بديلة محدّدة قدر الإمكان. وتُرحَّب بصفة خاصة الملاحظات على جداول الحدود الكمية (الملحق B)؛ ويُرجى التحقّق من القيم مقابل دستور الأدوية والمعيار المصدر الساريين. والنص الإنجليزي هو النص المُعتمَد.</w:t>
      </w:r>
    </w:p>
    <w:p>
      <w:pPr>
        <w:jc w:val="left"/>
      </w:pPr>
      <w:r>
        <w:rPr>
          <w:b/>
          <w:i w:val="0"/>
          <w:sz w:val="18"/>
        </w:rPr>
        <w:t>Comment type:  G = General   ·   S = Specific (technical)   ·   E = Editorial</w:t>
      </w:r>
    </w:p>
    <w:p>
      <w:pPr>
        <w:jc w:val="right"/>
        <w:bidi/>
      </w:pPr>
      <w:r>
        <w:rPr>
          <w:rFonts w:ascii="Arial" w:hAnsi="Arial"/>
          <w:b/>
          <w:i w:val="0"/>
          <w:sz w:val="18"/>
          <w:rtl/>
        </w:rPr>
        <w:t>نوع التعليق:  عام G   ·   محدّد فنّي S   ·   تحريري E</w:t>
      </w:r>
    </w:p>
    <w:p>
      <w:r>
        <w:rPr>
          <w:b/>
          <w:color w:val="0F5A50"/>
          <w:sz w:val="23"/>
        </w:rPr>
        <w:t>Section C — Comments</w:t>
      </w:r>
      <w:r>
        <w:rPr>
          <w:rFonts w:ascii="Arial" w:hAnsi="Arial"/>
          <w:b/>
          <w:color w:val="0F5A50"/>
          <w:sz w:val="23"/>
        </w:rPr>
        <w:t xml:space="preserve">    القسم ج — التعليقات</w:t>
      </w:r>
    </w:p>
    <w:tbl>
      <w:tblPr>
        <w:tblStyle w:val="TableGrid"/>
        <w:tblW w:type="auto" w:w="0"/>
        <w:tblLook w:firstColumn="1" w:firstRow="1" w:lastColumn="0" w:lastRow="0" w:noHBand="0" w:noVBand="1" w:val="04A0"/>
      </w:tblPr>
      <w:tblGrid>
        <w:gridCol w:w="680"/>
        <w:gridCol w:w="2041"/>
        <w:gridCol w:w="1587"/>
        <w:gridCol w:w="907"/>
        <w:gridCol w:w="4876"/>
        <w:gridCol w:w="4082"/>
      </w:tblGrid>
      <w:tr>
        <w:tc>
          <w:tcPr>
            <w:tcW w:type="dxa" w:w="2338"/>
            <w:shd w:val="clear" w:fill="0F5A50"/>
          </w:tcPr>
          <w:p>
            <w:pPr>
              <w:jc w:val="center"/>
            </w:pPr>
            <w:r/>
            <w:r>
              <w:rPr>
                <w:b/>
                <w:color w:val="FFFFFF"/>
                <w:sz w:val="18"/>
              </w:rPr>
              <w:t>No.</w:t>
            </w:r>
          </w:p>
          <w:p>
            <w:pPr>
              <w:jc w:val="right"/>
              <w:bidi/>
            </w:pPr>
            <w:r>
              <w:rPr>
                <w:rFonts w:ascii="Arial" w:hAnsi="Arial"/>
                <w:b/>
                <w:color w:val="FFFFFF"/>
                <w:sz w:val="18"/>
                <w:rtl/>
              </w:rPr>
              <w:t>م</w:t>
            </w:r>
          </w:p>
        </w:tc>
        <w:tc>
          <w:tcPr>
            <w:tcW w:type="dxa" w:w="2338"/>
            <w:shd w:val="clear" w:fill="0F5A50"/>
          </w:tcPr>
          <w:p>
            <w:pPr>
              <w:jc w:val="center"/>
            </w:pPr>
            <w:r/>
            <w:r>
              <w:rPr>
                <w:b/>
                <w:color w:val="FFFFFF"/>
                <w:sz w:val="18"/>
              </w:rPr>
              <w:t>Part / Annex</w:t>
            </w:r>
          </w:p>
          <w:p>
            <w:pPr>
              <w:jc w:val="right"/>
              <w:bidi/>
            </w:pPr>
            <w:r>
              <w:rPr>
                <w:rFonts w:ascii="Arial" w:hAnsi="Arial"/>
                <w:b/>
                <w:color w:val="FFFFFF"/>
                <w:sz w:val="18"/>
                <w:rtl/>
              </w:rPr>
              <w:t>الجزء / الملحق</w:t>
            </w:r>
          </w:p>
        </w:tc>
        <w:tc>
          <w:tcPr>
            <w:tcW w:type="dxa" w:w="2338"/>
            <w:shd w:val="clear" w:fill="0F5A50"/>
          </w:tcPr>
          <w:p>
            <w:pPr>
              <w:jc w:val="center"/>
            </w:pPr>
            <w:r/>
            <w:r>
              <w:rPr>
                <w:b/>
                <w:color w:val="FFFFFF"/>
                <w:sz w:val="18"/>
              </w:rPr>
              <w:t>Clause / Table</w:t>
            </w:r>
          </w:p>
          <w:p>
            <w:pPr>
              <w:jc w:val="right"/>
              <w:bidi/>
            </w:pPr>
            <w:r>
              <w:rPr>
                <w:rFonts w:ascii="Arial" w:hAnsi="Arial"/>
                <w:b/>
                <w:color w:val="FFFFFF"/>
                <w:sz w:val="18"/>
                <w:rtl/>
              </w:rPr>
              <w:t>البند / الجدول</w:t>
            </w:r>
          </w:p>
        </w:tc>
        <w:tc>
          <w:tcPr>
            <w:tcW w:type="dxa" w:w="2338"/>
            <w:shd w:val="clear" w:fill="0F5A50"/>
          </w:tcPr>
          <w:p>
            <w:pPr>
              <w:jc w:val="center"/>
            </w:pPr>
            <w:r/>
            <w:r>
              <w:rPr>
                <w:b/>
                <w:color w:val="FFFFFF"/>
                <w:sz w:val="18"/>
              </w:rPr>
              <w:t>Type</w:t>
            </w:r>
          </w:p>
          <w:p>
            <w:pPr>
              <w:jc w:val="right"/>
              <w:bidi/>
            </w:pPr>
            <w:r>
              <w:rPr>
                <w:rFonts w:ascii="Arial" w:hAnsi="Arial"/>
                <w:b/>
                <w:color w:val="FFFFFF"/>
                <w:sz w:val="18"/>
                <w:rtl/>
              </w:rPr>
              <w:t>النوع</w:t>
            </w:r>
          </w:p>
        </w:tc>
        <w:tc>
          <w:tcPr>
            <w:tcW w:type="dxa" w:w="2338"/>
            <w:shd w:val="clear" w:fill="0F5A50"/>
          </w:tcPr>
          <w:p>
            <w:pPr>
              <w:jc w:val="center"/>
            </w:pPr>
            <w:r/>
            <w:r>
              <w:rPr>
                <w:b/>
                <w:color w:val="FFFFFF"/>
                <w:sz w:val="18"/>
              </w:rPr>
              <w:t>Comment &amp; rationale</w:t>
            </w:r>
          </w:p>
          <w:p>
            <w:pPr>
              <w:jc w:val="right"/>
              <w:bidi/>
            </w:pPr>
            <w:r>
              <w:rPr>
                <w:rFonts w:ascii="Arial" w:hAnsi="Arial"/>
                <w:b/>
                <w:color w:val="FFFFFF"/>
                <w:sz w:val="18"/>
                <w:rtl/>
              </w:rPr>
              <w:t>التعليق والمبرّر</w:t>
            </w:r>
          </w:p>
        </w:tc>
        <w:tc>
          <w:tcPr>
            <w:tcW w:type="dxa" w:w="2338"/>
            <w:shd w:val="clear" w:fill="0F5A50"/>
          </w:tcPr>
          <w:p>
            <w:pPr>
              <w:jc w:val="center"/>
            </w:pPr>
            <w:r/>
            <w:r>
              <w:rPr>
                <w:b/>
                <w:color w:val="FFFFFF"/>
                <w:sz w:val="18"/>
              </w:rPr>
              <w:t>Proposed wording</w:t>
            </w:r>
          </w:p>
          <w:p>
            <w:pPr>
              <w:jc w:val="right"/>
              <w:bidi/>
            </w:pPr>
            <w:r>
              <w:rPr>
                <w:rFonts w:ascii="Arial" w:hAnsi="Arial"/>
                <w:b/>
                <w:color w:val="FFFFFF"/>
                <w:sz w:val="18"/>
                <w:rtl/>
              </w:rPr>
              <w:t>الصياغة المقترحة</w:t>
            </w:r>
          </w:p>
        </w:tc>
      </w:tr>
      <w:tr>
        <w:tc>
          <w:tcPr>
            <w:tcW w:type="dxa" w:w="2338"/>
          </w:tcPr>
          <w:p>
            <w:pPr>
              <w:jc w:val="center"/>
            </w:pPr>
            <w:r/>
            <w:r>
              <w:rPr>
                <w:b w:val="0"/>
                <w:sz w:val="18"/>
              </w:rPr>
              <w:t>1</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2</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3</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4</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5</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6</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7</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8</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9</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10</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11</w:t>
            </w:r>
          </w:p>
        </w:tc>
        <w:tc>
          <w:tcPr>
            <w:tcW w:type="dxa" w:w="2338"/>
          </w:tcPr>
          <w:p/>
        </w:tc>
        <w:tc>
          <w:tcPr>
            <w:tcW w:type="dxa" w:w="2338"/>
          </w:tcPr>
          <w:p/>
        </w:tc>
        <w:tc>
          <w:tcPr>
            <w:tcW w:type="dxa" w:w="2338"/>
          </w:tcPr>
          <w:p/>
        </w:tc>
        <w:tc>
          <w:tcPr>
            <w:tcW w:type="dxa" w:w="2338"/>
          </w:tcPr>
          <w:p/>
        </w:tc>
        <w:tc>
          <w:tcPr>
            <w:tcW w:type="dxa" w:w="2338"/>
          </w:tcPr>
          <w:p/>
        </w:tc>
      </w:tr>
      <w:tr>
        <w:tc>
          <w:tcPr>
            <w:tcW w:type="dxa" w:w="2338"/>
          </w:tcPr>
          <w:p>
            <w:pPr>
              <w:jc w:val="center"/>
            </w:pPr>
            <w:r/>
            <w:r>
              <w:rPr>
                <w:b w:val="0"/>
                <w:sz w:val="18"/>
              </w:rPr>
              <w:t>12</w:t>
            </w:r>
          </w:p>
        </w:tc>
        <w:tc>
          <w:tcPr>
            <w:tcW w:type="dxa" w:w="2338"/>
          </w:tcPr>
          <w:p/>
        </w:tc>
        <w:tc>
          <w:tcPr>
            <w:tcW w:type="dxa" w:w="2338"/>
          </w:tcPr>
          <w:p/>
        </w:tc>
        <w:tc>
          <w:tcPr>
            <w:tcW w:type="dxa" w:w="2338"/>
          </w:tcPr>
          <w:p/>
        </w:tc>
        <w:tc>
          <w:tcPr>
            <w:tcW w:type="dxa" w:w="2338"/>
          </w:tcPr>
          <w:p/>
        </w:tc>
        <w:tc>
          <w:tcPr>
            <w:tcW w:type="dxa" w:w="2338"/>
          </w:tcPr>
          <w:p/>
        </w:tc>
      </w:tr>
    </w:tbl>
    <w:p>
      <w:pPr>
        <w:jc w:val="left"/>
      </w:pPr>
      <w:r>
        <w:rPr>
          <w:b w:val="0"/>
          <w:i/>
          <w:sz w:val="17"/>
        </w:rPr>
        <w:t>Add rows or attach a continuation sheet if more space is required.</w:t>
      </w:r>
    </w:p>
    <w:p>
      <w:pPr>
        <w:jc w:val="right"/>
        <w:bidi/>
      </w:pPr>
      <w:r>
        <w:rPr>
          <w:rFonts w:ascii="Arial" w:hAnsi="Arial"/>
          <w:b w:val="0"/>
          <w:i/>
          <w:sz w:val="17"/>
          <w:rtl/>
        </w:rPr>
        <w:t>يمكن إضافة صفوف أو إرفاق ورقة إضافية عند الحاجة إلى مزيد من المساحة.</w:t>
      </w:r>
    </w:p>
    <w:p>
      <w:pPr>
        <w:jc w:val="center"/>
      </w:pPr>
      <w:r>
        <w:rPr>
          <w:color w:val="B6892E"/>
          <w:sz w:val="14"/>
        </w:rPr>
        <w:t>————————————————————————————————————————————————————————————</w:t>
      </w:r>
    </w:p>
    <w:p>
      <w:pPr>
        <w:jc w:val="left"/>
      </w:pPr>
      <w:r>
        <w:rPr>
          <w:b w:val="0"/>
          <w:i/>
          <w:sz w:val="17"/>
        </w:rPr>
        <w:t>Comments are reviewed by the AUPAM Experts’ Office and the Arab GMP Working Group. Submissions may be consolidated and published in summary form; contributors are acknowledged unless anonymity is requested. Personal data are used only to administer this consultation.</w:t>
      </w:r>
    </w:p>
    <w:p>
      <w:pPr>
        <w:jc w:val="right"/>
        <w:bidi/>
      </w:pPr>
      <w:r>
        <w:rPr>
          <w:rFonts w:ascii="Arial" w:hAnsi="Arial"/>
          <w:b w:val="0"/>
          <w:i/>
          <w:sz w:val="17"/>
          <w:rtl/>
        </w:rPr>
        <w:t>تُراجَع التعليقات من مكتب خبراء الاتحاد العربي (AUPAM) ولجنة العمل للدليل العربي، وقد تُجمَّع وتُنشَر بصيغة مُلخّصة، ويُشكَر المساهمون ما لم يُطلَب إغفال الاسم. وتُستخدَم البيانات الشخصية لإدارة هذه المشاورة فقط.</w:t>
      </w:r>
    </w:p>
    <w:sectPr w:rsidR="00FC693F" w:rsidRPr="0006063C" w:rsidSect="00034616">
      <w:pgSz w:w="15840" w:h="12240" w:orient="landscape"/>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