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45BC51" w14:textId="77777777" w:rsidR="00CD5946" w:rsidRDefault="00000000">
      <w:pPr>
        <w:spacing w:before="72" w:after="86"/>
        <w:jc w:val="center"/>
      </w:pPr>
      <w:r>
        <w:rPr>
          <w:noProof/>
        </w:rPr>
        <w:drawing>
          <wp:inline distT="0" distB="0" distL="0" distR="0" wp14:anchorId="1B10C97D" wp14:editId="6E0E747C">
            <wp:extent cx="1014730" cy="1051560"/>
            <wp:effectExtent l="0" t="0" r="0" b="0"/>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3"/>
                    <pic:cNvPicPr>
                      <a:picLocks noChangeAspect="1" noChangeArrowheads="1"/>
                    </pic:cNvPicPr>
                  </pic:nvPicPr>
                  <pic:blipFill>
                    <a:blip r:embed="rId7"/>
                    <a:stretch>
                      <a:fillRect/>
                    </a:stretch>
                  </pic:blipFill>
                  <pic:spPr bwMode="auto">
                    <a:xfrm>
                      <a:off x="0" y="0"/>
                      <a:ext cx="1014730" cy="1051560"/>
                    </a:xfrm>
                    <a:prstGeom prst="rect">
                      <a:avLst/>
                    </a:prstGeom>
                    <a:noFill/>
                  </pic:spPr>
                </pic:pic>
              </a:graphicData>
            </a:graphic>
          </wp:inline>
        </w:drawing>
      </w:r>
    </w:p>
    <w:p w14:paraId="57565EB1" w14:textId="77777777" w:rsidR="00CD5946" w:rsidRDefault="00000000">
      <w:pPr>
        <w:shd w:val="clear" w:color="auto" w:fill="0E5A50"/>
        <w:spacing w:before="40" w:after="40"/>
        <w:jc w:val="center"/>
      </w:pPr>
      <w:r>
        <w:rPr>
          <w:rFonts w:ascii="Calibri" w:eastAsia="Calibri" w:hAnsi="Calibri"/>
          <w:b/>
          <w:caps/>
          <w:color w:val="FFFFFF"/>
          <w:spacing w:val="30"/>
          <w:sz w:val="22"/>
        </w:rPr>
        <w:t>AUPAM EXPERTS’ OFFICE  ·  THE ARAB EXPERTS’ OFFICE AT AUPAM</w:t>
      </w:r>
    </w:p>
    <w:p w14:paraId="277BA264" w14:textId="77777777" w:rsidR="00CD5946" w:rsidRDefault="00000000">
      <w:pPr>
        <w:shd w:val="clear" w:color="auto" w:fill="0E5A50"/>
        <w:bidi/>
        <w:spacing w:before="40" w:after="80"/>
        <w:jc w:val="center"/>
      </w:pPr>
      <w:r>
        <w:rPr>
          <w:rFonts w:ascii="Arial" w:eastAsia="Arial" w:hAnsi="Arial"/>
          <w:b/>
          <w:color w:val="FFFFFF"/>
          <w:sz w:val="24"/>
          <w:rtl/>
        </w:rPr>
        <w:t>الاتحاد العربي لمنتجي الادوية والمستلزمات الطبية</w:t>
      </w:r>
    </w:p>
    <w:p w14:paraId="4D1193FE" w14:textId="77777777" w:rsidR="00CD5946" w:rsidRDefault="00CD5946">
      <w:pPr>
        <w:spacing w:before="280"/>
      </w:pPr>
    </w:p>
    <w:p w14:paraId="366763EC" w14:textId="77777777" w:rsidR="00CD5946" w:rsidRDefault="00000000">
      <w:pPr>
        <w:spacing w:before="160" w:after="40"/>
        <w:jc w:val="center"/>
      </w:pPr>
      <w:r>
        <w:rPr>
          <w:rFonts w:ascii="Calibri" w:eastAsia="Calibri" w:hAnsi="Calibri"/>
          <w:b/>
          <w:color w:val="0E5A50"/>
          <w:sz w:val="68"/>
        </w:rPr>
        <w:t>THE ARAB GMP GUIDELINE</w:t>
      </w:r>
    </w:p>
    <w:p w14:paraId="377116BF" w14:textId="77777777" w:rsidR="00CD5946" w:rsidRDefault="00000000">
      <w:pPr>
        <w:jc w:val="center"/>
      </w:pPr>
      <w:r>
        <w:rPr>
          <w:rFonts w:ascii="Calibri" w:eastAsia="Calibri" w:hAnsi="Calibri"/>
          <w:b/>
          <w:color w:val="B6892E"/>
          <w:spacing w:val="60"/>
          <w:sz w:val="36"/>
        </w:rPr>
        <w:t>2026 EDITION</w:t>
      </w:r>
    </w:p>
    <w:p w14:paraId="08827834" w14:textId="77777777" w:rsidR="00CD5946" w:rsidRDefault="00CD5946">
      <w:pPr>
        <w:pBdr>
          <w:bottom w:val="single" w:sz="12" w:space="6" w:color="B6892E"/>
        </w:pBdr>
        <w:spacing w:after="200"/>
        <w:jc w:val="center"/>
      </w:pPr>
    </w:p>
    <w:p w14:paraId="104A1C10" w14:textId="77777777" w:rsidR="00CD5946" w:rsidRDefault="00000000">
      <w:pPr>
        <w:spacing w:before="80" w:after="60"/>
        <w:jc w:val="center"/>
      </w:pPr>
      <w:r>
        <w:rPr>
          <w:rFonts w:ascii="Calibri" w:eastAsia="Calibri" w:hAnsi="Calibri"/>
          <w:b/>
          <w:sz w:val="26"/>
        </w:rPr>
        <w:t>Arab Guidelines on Current Good Manufacturing Practice (cGMP) for Pharmaceutical Products</w:t>
      </w:r>
    </w:p>
    <w:p w14:paraId="06235BFF" w14:textId="77777777" w:rsidR="00CD5946" w:rsidRDefault="00000000">
      <w:pPr>
        <w:bidi/>
        <w:spacing w:before="40" w:after="160"/>
        <w:jc w:val="center"/>
      </w:pPr>
      <w:r>
        <w:rPr>
          <w:rFonts w:ascii="Arial" w:eastAsia="Arial" w:hAnsi="Arial"/>
          <w:b/>
          <w:sz w:val="26"/>
          <w:rtl/>
        </w:rPr>
        <w:t>الدليل العربي للممارسات التصنيعية الجيدة الحالية (</w:t>
      </w:r>
      <w:r>
        <w:rPr>
          <w:rFonts w:ascii="Arial" w:eastAsia="Arial" w:hAnsi="Arial"/>
          <w:b/>
          <w:sz w:val="26"/>
        </w:rPr>
        <w:t>cGMP</w:t>
      </w:r>
      <w:r>
        <w:rPr>
          <w:rFonts w:ascii="Arial" w:eastAsia="Arial" w:hAnsi="Arial"/>
          <w:b/>
          <w:sz w:val="26"/>
          <w:rtl/>
        </w:rPr>
        <w:t xml:space="preserve">) للمنتجات الدوائية — إصدار </w:t>
      </w:r>
      <w:r>
        <w:rPr>
          <w:rFonts w:ascii="Arial" w:eastAsia="Arial" w:hAnsi="Arial"/>
          <w:b/>
          <w:sz w:val="26"/>
        </w:rPr>
        <w:t>2026</w:t>
      </w:r>
    </w:p>
    <w:p w14:paraId="158CF25F" w14:textId="77777777" w:rsidR="00CD5946" w:rsidRDefault="00000000">
      <w:pPr>
        <w:spacing w:before="40" w:after="200"/>
        <w:jc w:val="center"/>
      </w:pPr>
      <w:r>
        <w:rPr>
          <w:rFonts w:ascii="Calibri" w:eastAsia="Calibri" w:hAnsi="Calibri"/>
          <w:i/>
          <w:color w:val="5A6B66"/>
          <w:sz w:val="23"/>
        </w:rPr>
        <w:t>Consolidated Master Edition  ·  Parts I–III  ·  Annexes  ·  Appendices</w:t>
      </w:r>
    </w:p>
    <w:p w14:paraId="5B3AEAD8" w14:textId="77777777" w:rsidR="00CD5946" w:rsidRDefault="00000000">
      <w:pPr>
        <w:shd w:val="clear" w:color="auto" w:fill="EEF3F1"/>
        <w:spacing w:before="120"/>
        <w:jc w:val="center"/>
      </w:pPr>
      <w:r>
        <w:rPr>
          <w:rFonts w:ascii="Calibri" w:eastAsia="Calibri" w:hAnsi="Calibri"/>
          <w:b/>
          <w:color w:val="0E5A50"/>
        </w:rPr>
        <w:t>Harmonised with  EU GMP  ·  PIC/S  ·  US FDA  ·  EMA  ·  WHO  ·  ICH  ·  SFDA GMP Guide v4.4</w:t>
      </w:r>
    </w:p>
    <w:p w14:paraId="7E50537B" w14:textId="77777777" w:rsidR="00CD5946" w:rsidRDefault="00CD5946">
      <w:pPr>
        <w:spacing w:before="440"/>
      </w:pPr>
    </w:p>
    <w:p w14:paraId="6A9F8EEA" w14:textId="77777777" w:rsidR="00CD5946" w:rsidRDefault="00000000">
      <w:pPr>
        <w:spacing w:before="40" w:after="40"/>
        <w:jc w:val="center"/>
      </w:pPr>
      <w:r>
        <w:rPr>
          <w:rFonts w:ascii="Calibri" w:eastAsia="Calibri" w:hAnsi="Calibri"/>
          <w:sz w:val="22"/>
        </w:rPr>
        <w:t>Prepared by the AUPAM Experts’ Office  ·  Arab GMP Working Group</w:t>
      </w:r>
    </w:p>
    <w:p w14:paraId="063AA351" w14:textId="77777777" w:rsidR="00CD5946" w:rsidRDefault="00000000">
      <w:pPr>
        <w:spacing w:after="240"/>
        <w:jc w:val="center"/>
      </w:pPr>
      <w:r>
        <w:rPr>
          <w:rFonts w:ascii="Calibri" w:eastAsia="Calibri" w:hAnsi="Calibri"/>
          <w:b/>
          <w:sz w:val="22"/>
        </w:rPr>
        <w:t>Chairman: Associate Prof. Dr. rer. nat. Osama Abd Elrahman</w:t>
      </w:r>
    </w:p>
    <w:p w14:paraId="12981B04" w14:textId="77777777" w:rsidR="00CD5946" w:rsidRDefault="00000000">
      <w:pPr>
        <w:shd w:val="clear" w:color="auto" w:fill="EFE3C6"/>
        <w:spacing w:before="200" w:after="40"/>
        <w:jc w:val="center"/>
      </w:pPr>
      <w:r>
        <w:rPr>
          <w:rFonts w:ascii="Calibri" w:eastAsia="Calibri" w:hAnsi="Calibri"/>
          <w:b/>
          <w:sz w:val="20"/>
        </w:rPr>
        <w:t>Document ref. AUPAM/ARB-cGMP/2026</w:t>
      </w:r>
    </w:p>
    <w:p w14:paraId="705131F5" w14:textId="77777777" w:rsidR="00CD5946" w:rsidRDefault="00000000">
      <w:pPr>
        <w:shd w:val="clear" w:color="auto" w:fill="EFE3C6"/>
        <w:spacing w:after="40"/>
        <w:jc w:val="center"/>
      </w:pPr>
      <w:r>
        <w:rPr>
          <w:rFonts w:ascii="Calibri" w:eastAsia="Calibri" w:hAnsi="Calibri"/>
          <w:i/>
          <w:color w:val="5A6B66"/>
          <w:sz w:val="19"/>
        </w:rPr>
        <w:t>Version 0.96  ·  DRAFT FOR PUBLIC CONSULTATION  ·  Open for comment 18 June – 31 October 2026  ·  Not for regulatory citation during the consultation period</w:t>
      </w:r>
    </w:p>
    <w:p w14:paraId="75F6651C" w14:textId="77777777" w:rsidR="00CD5946" w:rsidRDefault="00000000">
      <w:pPr>
        <w:pStyle w:val="Heading1"/>
        <w:spacing w:before="0" w:after="160"/>
      </w:pPr>
      <w:r>
        <w:rPr>
          <w:rFonts w:ascii="Calibri" w:eastAsia="Calibri" w:hAnsi="Calibri"/>
          <w:color w:val="0E5A50"/>
        </w:rPr>
        <w:t xml:space="preserve">Publication &amp; Copyright Notice · </w:t>
      </w:r>
      <w:r>
        <w:rPr>
          <w:rFonts w:ascii="Calibri" w:eastAsia="Calibri" w:hAnsi="Calibri"/>
          <w:color w:val="0E5A50"/>
          <w:rtl/>
        </w:rPr>
        <w:t>إشعار النشر وحقوق المؤلف</w:t>
      </w:r>
    </w:p>
    <w:p w14:paraId="0891CC9A" w14:textId="77777777" w:rsidR="00CD5946" w:rsidRDefault="00000000">
      <w:pPr>
        <w:pBdr>
          <w:top w:val="single" w:sz="14" w:space="8" w:color="9A2A2A"/>
          <w:left w:val="single" w:sz="14" w:space="8" w:color="9A2A2A"/>
          <w:bottom w:val="single" w:sz="14" w:space="8" w:color="9A2A2A"/>
          <w:right w:val="single" w:sz="14" w:space="8" w:color="9A2A2A"/>
        </w:pBdr>
        <w:shd w:val="clear" w:color="auto" w:fill="FBEFEF"/>
        <w:spacing w:after="80" w:line="266" w:lineRule="auto"/>
        <w:ind w:left="144" w:right="144"/>
      </w:pPr>
      <w:r>
        <w:rPr>
          <w:rFonts w:ascii="Arial" w:eastAsia="Arial" w:hAnsi="Arial"/>
          <w:b/>
          <w:bCs/>
          <w:color w:val="9A2A2A"/>
          <w:sz w:val="22"/>
          <w:szCs w:val="22"/>
        </w:rPr>
        <w:t>LEGAL NOTICE — DRAFT FOR PUBLIC CONSULTATION</w:t>
      </w:r>
    </w:p>
    <w:p w14:paraId="5C62D2EF" w14:textId="77777777" w:rsidR="00CD5946" w:rsidRDefault="00000000">
      <w:pPr>
        <w:pBdr>
          <w:top w:val="single" w:sz="14" w:space="8" w:color="9A2A2A"/>
          <w:left w:val="single" w:sz="14" w:space="8" w:color="9A2A2A"/>
          <w:bottom w:val="single" w:sz="14" w:space="8" w:color="9A2A2A"/>
          <w:right w:val="single" w:sz="14" w:space="8" w:color="9A2A2A"/>
        </w:pBdr>
        <w:shd w:val="clear" w:color="auto" w:fill="FBEFEF"/>
        <w:spacing w:after="80" w:line="266" w:lineRule="auto"/>
        <w:ind w:left="144" w:right="144"/>
      </w:pPr>
      <w:r>
        <w:rPr>
          <w:rFonts w:ascii="Arial" w:eastAsia="Arial" w:hAnsi="Arial"/>
          <w:sz w:val="20"/>
          <w:szCs w:val="20"/>
        </w:rPr>
        <w:t>This is a Draft for Public Consultation of the Arab GMP Guideline 2026, released by the AUPAM Experts’ Office to invite comment from regulatory authorities, industry, academia and other stakeholders, regionally and internationally. It may be reproduced and circulated freely for the purpose of review and comment, with attribution. It is not a final guideline; its content may change as a result of consultation, and it shall not be cited in dossiers, assessment reports or inspections during the consultation period.</w:t>
      </w:r>
    </w:p>
    <w:p w14:paraId="5643145B" w14:textId="77777777" w:rsidR="00CD5946" w:rsidRDefault="00000000">
      <w:pPr>
        <w:pBdr>
          <w:top w:val="single" w:sz="14" w:space="8" w:color="9A2A2A"/>
          <w:left w:val="single" w:sz="14" w:space="8" w:color="9A2A2A"/>
          <w:bottom w:val="single" w:sz="14" w:space="8" w:color="9A2A2A"/>
          <w:right w:val="single" w:sz="14" w:space="8" w:color="9A2A2A"/>
        </w:pBdr>
        <w:shd w:val="clear" w:color="auto" w:fill="FBEFEF"/>
        <w:bidi/>
        <w:spacing w:after="80" w:line="266" w:lineRule="auto"/>
        <w:ind w:left="144" w:right="144"/>
        <w:jc w:val="right"/>
      </w:pPr>
      <w:r>
        <w:rPr>
          <w:rFonts w:ascii="Arial" w:eastAsia="Arial" w:hAnsi="Arial"/>
          <w:sz w:val="20"/>
          <w:szCs w:val="20"/>
          <w:rtl/>
        </w:rPr>
        <w:t xml:space="preserve">إشعار قانوني — مسودة للمشاورة العامة. هذه مسودة من الدليل العربي للممارسات التصنيعية الجيدة 2026 يطرحها مكتب خبراء الاتحاد العربي (AUPAM) لاستطلاع آراء الجهات التنظيمية والصناعة والأوساط الأكاديمية وسائر المعنيين، إقليمياً ودولياً. ويجوز نسخها وتعميمها </w:t>
        <w:lastRenderedPageBreak/>
        <w:t>بحرية لغرض المراجعة وإبداء الملاحظات مع الإشارة إلى المصدر. وهي ليست دليلاً نهائياً، وقد يتغيّر محتواها نتيجة المشاورة، ولا يجوز الاستشهاد بها في الملفات أو تقارير التقييم أو عمليات التفتيش خلال فترة المشاورة.</w:t>
      </w:r>
    </w:p>
    <w:p w14:paraId="6670D8B9" w14:textId="77777777" w:rsidR="00CD5946" w:rsidRDefault="00000000">
      <w:pPr>
        <w:pBdr>
          <w:top w:val="single" w:sz="14" w:space="8" w:color="9A2A2A"/>
          <w:left w:val="single" w:sz="14" w:space="8" w:color="9A2A2A"/>
          <w:bottom w:val="single" w:sz="14" w:space="8" w:color="9A2A2A"/>
          <w:right w:val="single" w:sz="14" w:space="8" w:color="9A2A2A"/>
        </w:pBdr>
        <w:shd w:val="clear" w:color="auto" w:fill="FBEFEF"/>
        <w:spacing w:after="80" w:line="266" w:lineRule="auto"/>
        <w:ind w:left="144" w:right="144"/>
      </w:pPr>
      <w:r>
        <w:rPr>
          <w:rFonts w:ascii="Arial" w:eastAsia="Arial" w:hAnsi="Arial"/>
          <w:b/>
          <w:bCs/>
          <w:sz w:val="20"/>
          <w:szCs w:val="20"/>
        </w:rPr>
        <w:t>Consultation period. This draft is open for public comment from 18 June 2026 to 31 October 2026. Comments should be submitted on the official comment form (Arab-GMP-2026 Comment Form) and returned by email to the AUPAM Experts’ Office, attention of the Chairman. After the consultation closes, comments will be adjudicated by the Arab GMP Working Group and a final edition (Version 1.0) will be prepared for endorsement and adoption.</w:t>
      </w:r>
    </w:p>
    <w:p w14:paraId="1237201B" w14:textId="77777777" w:rsidR="00CD5946" w:rsidRDefault="00000000">
      <w:pPr>
        <w:pBdr>
          <w:top w:val="single" w:sz="14" w:space="8" w:color="9A2A2A"/>
          <w:left w:val="single" w:sz="14" w:space="8" w:color="9A2A2A"/>
          <w:bottom w:val="single" w:sz="14" w:space="8" w:color="9A2A2A"/>
          <w:right w:val="single" w:sz="14" w:space="8" w:color="9A2A2A"/>
        </w:pBdr>
        <w:shd w:val="clear" w:color="auto" w:fill="FBEFEF"/>
        <w:bidi/>
        <w:spacing w:after="80" w:line="266" w:lineRule="auto"/>
        <w:ind w:left="144" w:right="144"/>
        <w:jc w:val="right"/>
      </w:pPr>
      <w:r>
        <w:rPr>
          <w:rFonts w:ascii="Arial" w:eastAsia="Arial" w:hAnsi="Arial"/>
          <w:b/>
          <w:bCs/>
          <w:sz w:val="20"/>
          <w:szCs w:val="20"/>
          <w:rtl/>
        </w:rPr>
        <w:t>فترة المشاورة. هذه المسودة مفتوحة للتعليق العام من 18 يونيو 2026 حتى 31 أكتوبر 2026. تُقدَّم الملاحظات على نموذج التعليق الرسمي (نموذج تعليقات الدليل العربي 2026) وتُرسَل بالبريد الإلكتروني إلى مكتب خبراء الاتحاد العربي (AUPAM) لعناية رئيس المكتب. وبعد إغلاق المشاورة، تتولّى لجنة العمل للدليل العربي دراسة الملاحظات وإعداد الإصدار النهائي (النسخة 1.0) للاعتماد والتبنّي.</w:t>
      </w:r>
    </w:p>
    <w:p w14:paraId="67D758B0" w14:textId="77777777" w:rsidR="00CD5946" w:rsidRDefault="00000000">
      <w:pPr>
        <w:pBdr>
          <w:top w:val="single" w:sz="14" w:space="8" w:color="9A2A2A"/>
          <w:left w:val="single" w:sz="14" w:space="8" w:color="9A2A2A"/>
          <w:bottom w:val="single" w:sz="14" w:space="8" w:color="9A2A2A"/>
          <w:right w:val="single" w:sz="14" w:space="8" w:color="9A2A2A"/>
        </w:pBdr>
        <w:shd w:val="clear" w:color="auto" w:fill="FBEFEF"/>
        <w:spacing w:after="0" w:line="266" w:lineRule="auto"/>
        <w:ind w:left="144" w:right="144"/>
      </w:pPr>
      <w:r>
        <w:rPr>
          <w:rFonts w:ascii="Arial" w:eastAsia="Arial" w:hAnsi="Arial"/>
          <w:b/>
          <w:bCs/>
          <w:sz w:val="18"/>
          <w:szCs w:val="18"/>
        </w:rPr>
        <w:t xml:space="preserve">© 2026 Assoc. Prof. Dr. rer. nat. Osama Abd Elrahman &amp; the AUPAM Experts’ Office. All rights reserved.  </w:t>
      </w:r>
      <w:r>
        <w:rPr>
          <w:rFonts w:ascii="Arial" w:eastAsia="Arial" w:hAnsi="Arial"/>
          <w:b/>
          <w:bCs/>
          <w:sz w:val="18"/>
          <w:szCs w:val="18"/>
          <w:rtl/>
        </w:rPr>
        <w:t>© 2026 الأستاذ المشارك الدكتور أسامة عبد الرحمن ومكتب خبراء الاتحاد العربي (AUPAM). جميع الحقوق محفوظة.</w:t>
      </w:r>
    </w:p>
    <w:p w14:paraId="4B725092" w14:textId="77777777" w:rsidR="00CD5946" w:rsidRDefault="00000000">
      <w:pPr>
        <w:pStyle w:val="Heading1"/>
        <w:spacing w:before="0" w:after="160"/>
      </w:pPr>
      <w:bookmarkStart w:id="0" w:name="__RefHeading___Toc9151_1729075678"/>
      <w:bookmarkEnd w:id="0"/>
      <w:r>
        <w:rPr>
          <w:rFonts w:ascii="Calibri" w:eastAsia="Calibri" w:hAnsi="Calibri"/>
          <w:color w:val="0E5A50"/>
        </w:rPr>
        <w:t xml:space="preserve">Document Control · </w:t>
      </w:r>
      <w:r>
        <w:rPr>
          <w:rFonts w:ascii="Calibri" w:eastAsia="Calibri" w:hAnsi="Calibri"/>
          <w:color w:val="0E5A50"/>
          <w:rtl/>
        </w:rPr>
        <w:t>ضبط الوثيقة</w:t>
      </w:r>
    </w:p>
    <w:tbl>
      <w:tblPr>
        <w:tblW w:w="9360" w:type="dxa"/>
        <w:jc w:val="center"/>
        <w:tblLayout w:type="fixed"/>
        <w:tblCellMar>
          <w:top w:w="40" w:type="dxa"/>
          <w:left w:w="90" w:type="dxa"/>
          <w:bottom w:w="40" w:type="dxa"/>
          <w:right w:w="90" w:type="dxa"/>
        </w:tblCellMar>
        <w:tblLook w:val="04A0" w:firstRow="1" w:lastRow="0" w:firstColumn="1" w:lastColumn="0" w:noHBand="0" w:noVBand="1"/>
      </w:tblPr>
      <w:tblGrid>
        <w:gridCol w:w="4680"/>
        <w:gridCol w:w="4680"/>
      </w:tblGrid>
      <w:tr w:rsidR="00CD5946" w14:paraId="2CD56FD3" w14:textId="77777777">
        <w:trPr>
          <w:tblHeader/>
          <w:jc w:val="center"/>
        </w:trPr>
        <w:tc>
          <w:tcPr>
            <w:tcW w:w="4680" w:type="dxa"/>
            <w:tcBorders>
              <w:top w:val="single" w:sz="4" w:space="0" w:color="D8E0DD"/>
              <w:left w:val="single" w:sz="4" w:space="0" w:color="D8E0DD"/>
              <w:bottom w:val="single" w:sz="4" w:space="0" w:color="D8E0DD"/>
              <w:right w:val="single" w:sz="4" w:space="0" w:color="D8E0DD"/>
            </w:tcBorders>
            <w:shd w:val="clear" w:color="auto" w:fill="0E5A50"/>
            <w:vAlign w:val="center"/>
          </w:tcPr>
          <w:p w14:paraId="7B89DBCF" w14:textId="77777777" w:rsidR="00CD5946" w:rsidRDefault="00000000">
            <w:pPr>
              <w:spacing w:before="20" w:after="20" w:line="240" w:lineRule="auto"/>
            </w:pPr>
            <w:r>
              <w:rPr>
                <w:rFonts w:ascii="Calibri" w:eastAsia="Calibri" w:hAnsi="Calibri"/>
                <w:b/>
                <w:color w:val="FFFFFF"/>
                <w:sz w:val="19"/>
              </w:rPr>
              <w:t>Title</w:t>
            </w:r>
          </w:p>
        </w:tc>
        <w:tc>
          <w:tcPr>
            <w:tcW w:w="4680" w:type="dxa"/>
            <w:tcBorders>
              <w:top w:val="single" w:sz="4" w:space="0" w:color="D8E0DD"/>
              <w:left w:val="single" w:sz="4" w:space="0" w:color="D8E0DD"/>
              <w:bottom w:val="single" w:sz="4" w:space="0" w:color="D8E0DD"/>
              <w:right w:val="single" w:sz="4" w:space="0" w:color="D8E0DD"/>
            </w:tcBorders>
            <w:shd w:val="clear" w:color="auto" w:fill="0E5A50"/>
            <w:vAlign w:val="center"/>
          </w:tcPr>
          <w:p w14:paraId="72C28E2E" w14:textId="77777777" w:rsidR="00CD5946" w:rsidRDefault="00000000">
            <w:pPr>
              <w:spacing w:before="20" w:after="20" w:line="240" w:lineRule="auto"/>
            </w:pPr>
            <w:r>
              <w:rPr>
                <w:rFonts w:ascii="Calibri" w:eastAsia="Calibri" w:hAnsi="Calibri"/>
                <w:b/>
                <w:color w:val="FFFFFF"/>
                <w:sz w:val="19"/>
              </w:rPr>
              <w:t>The Arab GMP Guideline 2026 — Arab Guidelines on cGMP for Pharmaceutical Products</w:t>
            </w:r>
          </w:p>
        </w:tc>
      </w:tr>
      <w:tr w:rsidR="00CD5946" w14:paraId="4B657E0D" w14:textId="77777777">
        <w:trPr>
          <w:jc w:val="center"/>
        </w:trPr>
        <w:tc>
          <w:tcPr>
            <w:tcW w:w="468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132FC7E6" w14:textId="77777777" w:rsidR="00CD5946" w:rsidRDefault="00000000">
            <w:pPr>
              <w:spacing w:before="20" w:after="20" w:line="240" w:lineRule="auto"/>
            </w:pPr>
            <w:r>
              <w:rPr>
                <w:rFonts w:ascii="Calibri" w:eastAsia="Calibri" w:hAnsi="Calibri"/>
                <w:b/>
                <w:color w:val="0E5A50"/>
                <w:sz w:val="19"/>
              </w:rPr>
              <w:t>Document reference</w:t>
            </w:r>
          </w:p>
        </w:tc>
        <w:tc>
          <w:tcPr>
            <w:tcW w:w="4680" w:type="dxa"/>
            <w:tcBorders>
              <w:top w:val="single" w:sz="4" w:space="0" w:color="D8E0DD"/>
              <w:left w:val="single" w:sz="4" w:space="0" w:color="D8E0DD"/>
              <w:bottom w:val="single" w:sz="4" w:space="0" w:color="D8E0DD"/>
              <w:right w:val="single" w:sz="4" w:space="0" w:color="D8E0DD"/>
            </w:tcBorders>
            <w:vAlign w:val="center"/>
          </w:tcPr>
          <w:p w14:paraId="2B1478A8" w14:textId="77777777" w:rsidR="00CD5946" w:rsidRDefault="00000000">
            <w:pPr>
              <w:spacing w:before="20" w:after="20" w:line="240" w:lineRule="auto"/>
            </w:pPr>
            <w:r>
              <w:rPr>
                <w:rFonts w:ascii="Calibri" w:eastAsia="Calibri" w:hAnsi="Calibri"/>
                <w:sz w:val="19"/>
              </w:rPr>
              <w:t>AUPAM/ARB-cGMP/2026</w:t>
            </w:r>
          </w:p>
        </w:tc>
      </w:tr>
      <w:tr w:rsidR="00CD5946" w14:paraId="74835524" w14:textId="77777777">
        <w:trPr>
          <w:jc w:val="center"/>
        </w:trPr>
        <w:tc>
          <w:tcPr>
            <w:tcW w:w="468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0FA19B55" w14:textId="77777777" w:rsidR="00CD5946" w:rsidRDefault="00000000">
            <w:pPr>
              <w:spacing w:before="20" w:after="20" w:line="240" w:lineRule="auto"/>
            </w:pPr>
            <w:r>
              <w:rPr>
                <w:rFonts w:ascii="Calibri" w:eastAsia="Calibri" w:hAnsi="Calibri"/>
                <w:b/>
                <w:color w:val="0E5A50"/>
                <w:sz w:val="19"/>
              </w:rPr>
              <w:t>Edition / status</w:t>
            </w:r>
          </w:p>
        </w:tc>
        <w:tc>
          <w:tcPr>
            <w:tcW w:w="468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45D0C0DA" w14:textId="77777777" w:rsidR="00674549" w:rsidRDefault="00000000">
            <w:r>
              <w:t>2026 Edition · Consolidated Master · Version 0.96 · Draft for Public Consultation (open 18 Jun – 31 Oct 2026)</w:t>
            </w:r>
          </w:p>
        </w:tc>
      </w:tr>
      <w:tr w:rsidR="00CD5946" w14:paraId="4231D851" w14:textId="77777777">
        <w:trPr>
          <w:jc w:val="center"/>
        </w:trPr>
        <w:tc>
          <w:tcPr>
            <w:tcW w:w="468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6D664022" w14:textId="77777777" w:rsidR="00CD5946" w:rsidRDefault="00000000">
            <w:pPr>
              <w:spacing w:before="20" w:after="20" w:line="240" w:lineRule="auto"/>
            </w:pPr>
            <w:r>
              <w:rPr>
                <w:rFonts w:ascii="Calibri" w:eastAsia="Calibri" w:hAnsi="Calibri"/>
                <w:b/>
                <w:color w:val="0E5A50"/>
                <w:sz w:val="19"/>
              </w:rPr>
              <w:t>Supersedes</w:t>
            </w:r>
          </w:p>
        </w:tc>
        <w:tc>
          <w:tcPr>
            <w:tcW w:w="4680" w:type="dxa"/>
            <w:tcBorders>
              <w:top w:val="single" w:sz="4" w:space="0" w:color="D8E0DD"/>
              <w:left w:val="single" w:sz="4" w:space="0" w:color="D8E0DD"/>
              <w:bottom w:val="single" w:sz="4" w:space="0" w:color="D8E0DD"/>
              <w:right w:val="single" w:sz="4" w:space="0" w:color="D8E0DD"/>
            </w:tcBorders>
            <w:vAlign w:val="center"/>
          </w:tcPr>
          <w:p w14:paraId="06B75483" w14:textId="77777777" w:rsidR="00CD5946" w:rsidRDefault="00000000">
            <w:pPr>
              <w:spacing w:before="20" w:after="20" w:line="240" w:lineRule="auto"/>
            </w:pPr>
            <w:r>
              <w:rPr>
                <w:rFonts w:ascii="Calibri" w:eastAsia="Calibri" w:hAnsi="Calibri"/>
                <w:sz w:val="19"/>
              </w:rPr>
              <w:t>Arab GMP Guidelines, 2nd Edition (2007)</w:t>
            </w:r>
          </w:p>
        </w:tc>
      </w:tr>
      <w:tr w:rsidR="00CD5946" w14:paraId="26C39EE8" w14:textId="77777777">
        <w:trPr>
          <w:jc w:val="center"/>
        </w:trPr>
        <w:tc>
          <w:tcPr>
            <w:tcW w:w="468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0D447425" w14:textId="77777777" w:rsidR="00CD5946" w:rsidRDefault="00000000">
            <w:pPr>
              <w:spacing w:before="20" w:after="20" w:line="240" w:lineRule="auto"/>
            </w:pPr>
            <w:r>
              <w:rPr>
                <w:rFonts w:ascii="Calibri" w:eastAsia="Calibri" w:hAnsi="Calibri"/>
                <w:b/>
                <w:color w:val="0E5A50"/>
                <w:sz w:val="19"/>
              </w:rPr>
              <w:t>Issued by</w:t>
            </w:r>
          </w:p>
        </w:tc>
        <w:tc>
          <w:tcPr>
            <w:tcW w:w="468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16286551" w14:textId="77777777" w:rsidR="00CD5946" w:rsidRDefault="00000000">
            <w:pPr>
              <w:spacing w:before="20" w:after="20" w:line="240" w:lineRule="auto"/>
            </w:pPr>
            <w:r>
              <w:rPr>
                <w:rFonts w:ascii="Calibri" w:eastAsia="Calibri" w:hAnsi="Calibri"/>
                <w:sz w:val="19"/>
              </w:rPr>
              <w:t>AUPAM Experts’ Office — Arab GMP Working Group</w:t>
            </w:r>
          </w:p>
        </w:tc>
      </w:tr>
      <w:tr w:rsidR="00CD5946" w14:paraId="2614895D" w14:textId="77777777">
        <w:trPr>
          <w:jc w:val="center"/>
        </w:trPr>
        <w:tc>
          <w:tcPr>
            <w:tcW w:w="468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39B3F2E3" w14:textId="77777777" w:rsidR="00CD5946" w:rsidRDefault="00000000">
            <w:pPr>
              <w:spacing w:before="20" w:after="20" w:line="240" w:lineRule="auto"/>
            </w:pPr>
            <w:r>
              <w:rPr>
                <w:rFonts w:ascii="Calibri" w:eastAsia="Calibri" w:hAnsi="Calibri"/>
                <w:b/>
                <w:color w:val="0E5A50"/>
                <w:sz w:val="19"/>
              </w:rPr>
              <w:t>Chairman / editor</w:t>
            </w:r>
          </w:p>
        </w:tc>
        <w:tc>
          <w:tcPr>
            <w:tcW w:w="4680" w:type="dxa"/>
            <w:tcBorders>
              <w:top w:val="single" w:sz="4" w:space="0" w:color="D8E0DD"/>
              <w:left w:val="single" w:sz="4" w:space="0" w:color="D8E0DD"/>
              <w:bottom w:val="single" w:sz="4" w:space="0" w:color="D8E0DD"/>
              <w:right w:val="single" w:sz="4" w:space="0" w:color="D8E0DD"/>
            </w:tcBorders>
            <w:vAlign w:val="center"/>
          </w:tcPr>
          <w:p w14:paraId="4779C8AE" w14:textId="77777777" w:rsidR="00CD5946" w:rsidRDefault="00000000">
            <w:pPr>
              <w:spacing w:before="20" w:after="20" w:line="240" w:lineRule="auto"/>
            </w:pPr>
            <w:r>
              <w:rPr>
                <w:rFonts w:ascii="Calibri" w:eastAsia="Calibri" w:hAnsi="Calibri"/>
                <w:sz w:val="19"/>
              </w:rPr>
              <w:t>Associate Prof. Dr. rer. nat. Osama Abd Elrahman</w:t>
            </w:r>
          </w:p>
        </w:tc>
      </w:tr>
      <w:tr w:rsidR="00CD5946" w14:paraId="1C3C6D4D" w14:textId="77777777">
        <w:trPr>
          <w:jc w:val="center"/>
        </w:trPr>
        <w:tc>
          <w:tcPr>
            <w:tcW w:w="468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7CE67991" w14:textId="77777777" w:rsidR="00CD5946" w:rsidRDefault="00000000">
            <w:pPr>
              <w:spacing w:before="20" w:after="20" w:line="240" w:lineRule="auto"/>
            </w:pPr>
            <w:r>
              <w:rPr>
                <w:rFonts w:ascii="Calibri" w:eastAsia="Calibri" w:hAnsi="Calibri"/>
                <w:b/>
                <w:color w:val="0E5A50"/>
                <w:sz w:val="19"/>
              </w:rPr>
              <w:t>Language</w:t>
            </w:r>
          </w:p>
        </w:tc>
        <w:tc>
          <w:tcPr>
            <w:tcW w:w="468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30D2A623" w14:textId="77777777" w:rsidR="00CD5946" w:rsidRDefault="00000000">
            <w:pPr>
              <w:spacing w:before="20" w:after="20" w:line="240" w:lineRule="auto"/>
            </w:pPr>
            <w:r>
              <w:rPr>
                <w:rFonts w:ascii="Calibri" w:eastAsia="Calibri" w:hAnsi="Calibri"/>
                <w:sz w:val="19"/>
              </w:rPr>
              <w:t>Bilingual: English (authoritative) | Arabic (parallel)</w:t>
            </w:r>
          </w:p>
        </w:tc>
      </w:tr>
      <w:tr w:rsidR="00CD5946" w14:paraId="6B585E9F" w14:textId="77777777">
        <w:trPr>
          <w:jc w:val="center"/>
        </w:trPr>
        <w:tc>
          <w:tcPr>
            <w:tcW w:w="468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5539DB9E" w14:textId="77777777" w:rsidR="00CD5946" w:rsidRDefault="00000000">
            <w:pPr>
              <w:spacing w:before="20" w:after="20" w:line="240" w:lineRule="auto"/>
            </w:pPr>
            <w:r>
              <w:rPr>
                <w:rFonts w:ascii="Calibri" w:eastAsia="Calibri" w:hAnsi="Calibri"/>
                <w:b/>
                <w:color w:val="0E5A50"/>
                <w:sz w:val="19"/>
              </w:rPr>
              <w:t>Normative basis</w:t>
            </w:r>
          </w:p>
        </w:tc>
        <w:tc>
          <w:tcPr>
            <w:tcW w:w="4680" w:type="dxa"/>
            <w:tcBorders>
              <w:top w:val="single" w:sz="4" w:space="0" w:color="D8E0DD"/>
              <w:left w:val="single" w:sz="4" w:space="0" w:color="D8E0DD"/>
              <w:bottom w:val="single" w:sz="4" w:space="0" w:color="D8E0DD"/>
              <w:right w:val="single" w:sz="4" w:space="0" w:color="D8E0DD"/>
            </w:tcBorders>
            <w:vAlign w:val="center"/>
          </w:tcPr>
          <w:p w14:paraId="27AB2287" w14:textId="77777777" w:rsidR="00CD5946" w:rsidRDefault="00000000">
            <w:pPr>
              <w:spacing w:before="20" w:after="20" w:line="240" w:lineRule="auto"/>
            </w:pPr>
            <w:r>
              <w:rPr>
                <w:rFonts w:ascii="Calibri" w:eastAsia="Calibri" w:hAnsi="Calibri"/>
                <w:sz w:val="19"/>
              </w:rPr>
              <w:t>EU GMP (EudraLex Vol. 4) · PIC/S PE 009-17 · US FDA 21 CFR 210/211/11 · WHO · ICH Q-series · SFDA GMP Guide v4.4</w:t>
            </w:r>
          </w:p>
        </w:tc>
      </w:tr>
      <w:tr w:rsidR="00CD5946" w14:paraId="3620D9E3" w14:textId="77777777">
        <w:trPr>
          <w:jc w:val="center"/>
        </w:trPr>
        <w:tc>
          <w:tcPr>
            <w:tcW w:w="468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3832E1D7" w14:textId="77777777" w:rsidR="00CD5946" w:rsidRDefault="00000000">
            <w:pPr>
              <w:spacing w:before="20" w:after="20" w:line="240" w:lineRule="auto"/>
            </w:pPr>
            <w:r>
              <w:rPr>
                <w:rFonts w:ascii="Calibri" w:eastAsia="Calibri" w:hAnsi="Calibri"/>
                <w:b/>
                <w:color w:val="0E5A50"/>
                <w:sz w:val="19"/>
              </w:rPr>
              <w:t>Conventions</w:t>
            </w:r>
          </w:p>
        </w:tc>
        <w:tc>
          <w:tcPr>
            <w:tcW w:w="468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130EB420" w14:textId="77777777" w:rsidR="00CD5946" w:rsidRDefault="00000000">
            <w:pPr>
              <w:spacing w:before="20" w:after="20" w:line="240" w:lineRule="auto"/>
            </w:pPr>
            <w:r>
              <w:rPr>
                <w:rFonts w:ascii="Calibri" w:eastAsia="Calibri" w:hAnsi="Calibri"/>
                <w:sz w:val="19"/>
              </w:rPr>
              <w:t>“shall” = requirement · “should” = recommendation · “may” = option · Note = informative</w:t>
            </w:r>
          </w:p>
        </w:tc>
      </w:tr>
      <w:tr w:rsidR="00CD5946" w14:paraId="6701722A" w14:textId="77777777">
        <w:trPr>
          <w:jc w:val="center"/>
        </w:trPr>
        <w:tc>
          <w:tcPr>
            <w:tcW w:w="468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25539E07" w14:textId="77777777" w:rsidR="00CD5946" w:rsidRDefault="00000000">
            <w:pPr>
              <w:spacing w:before="20" w:after="20" w:line="240" w:lineRule="auto"/>
            </w:pPr>
            <w:r>
              <w:rPr>
                <w:rFonts w:ascii="Calibri" w:eastAsia="Calibri" w:hAnsi="Calibri"/>
                <w:b/>
                <w:color w:val="0E5A50"/>
                <w:sz w:val="19"/>
              </w:rPr>
              <w:t>Review / maintenance</w:t>
            </w:r>
          </w:p>
        </w:tc>
        <w:tc>
          <w:tcPr>
            <w:tcW w:w="4680" w:type="dxa"/>
            <w:tcBorders>
              <w:top w:val="single" w:sz="4" w:space="0" w:color="D8E0DD"/>
              <w:left w:val="single" w:sz="4" w:space="0" w:color="D8E0DD"/>
              <w:bottom w:val="single" w:sz="4" w:space="0" w:color="D8E0DD"/>
              <w:right w:val="single" w:sz="4" w:space="0" w:color="D8E0DD"/>
            </w:tcBorders>
            <w:vAlign w:val="center"/>
          </w:tcPr>
          <w:p w14:paraId="13E22DBD" w14:textId="77777777" w:rsidR="00CD5946" w:rsidRDefault="00000000">
            <w:pPr>
              <w:spacing w:before="20" w:after="20" w:line="240" w:lineRule="auto"/>
            </w:pPr>
            <w:r>
              <w:rPr>
                <w:rFonts w:ascii="Calibri" w:eastAsia="Calibri" w:hAnsi="Calibri"/>
                <w:sz w:val="19"/>
              </w:rPr>
              <w:t>Annual technical review by the Working Group; numeric limits maintained in the reference-limits register (Appendix B)</w:t>
            </w:r>
          </w:p>
        </w:tc>
      </w:tr>
      <w:tr w:rsidR="00CD5946" w14:paraId="3F1802C9" w14:textId="77777777">
        <w:trPr>
          <w:jc w:val="center"/>
        </w:trPr>
        <w:tc>
          <w:tcPr>
            <w:tcW w:w="468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3D85B28A" w14:textId="77777777" w:rsidR="00CD5946" w:rsidRDefault="00000000">
            <w:pPr>
              <w:spacing w:before="20" w:after="20" w:line="240" w:lineRule="auto"/>
            </w:pPr>
            <w:r>
              <w:rPr>
                <w:rFonts w:ascii="Calibri" w:eastAsia="Calibri" w:hAnsi="Calibri"/>
                <w:b/>
                <w:color w:val="0E5A50"/>
                <w:sz w:val="19"/>
              </w:rPr>
              <w:t>Effective date</w:t>
            </w:r>
          </w:p>
        </w:tc>
        <w:tc>
          <w:tcPr>
            <w:tcW w:w="468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4D1F2695" w14:textId="77777777" w:rsidR="00674549" w:rsidRDefault="00000000">
            <w:r>
              <w:t>Not applicable during consultation; to be set on adoption by each authority after the final edition is issued</w:t>
            </w:r>
          </w:p>
        </w:tc>
      </w:tr>
    </w:tbl>
    <w:p w14:paraId="172FBF00" w14:textId="77777777" w:rsidR="00CD5946" w:rsidRDefault="00CD5946">
      <w:pPr>
        <w:spacing w:before="120"/>
      </w:pPr>
    </w:p>
    <w:p w14:paraId="1DBF1EA5" w14:textId="77777777" w:rsidR="00CD5946" w:rsidRDefault="00000000">
      <w:pPr>
        <w:pStyle w:val="Heading2"/>
        <w:spacing w:after="120"/>
      </w:pPr>
      <w:bookmarkStart w:id="1" w:name="__RefHeading___Toc9153_1729075678"/>
      <w:bookmarkEnd w:id="1"/>
      <w:r>
        <w:rPr>
          <w:rFonts w:ascii="Calibri" w:eastAsia="Calibri" w:hAnsi="Calibri"/>
          <w:color w:val="14756A"/>
          <w:sz w:val="25"/>
        </w:rPr>
        <w:t xml:space="preserve">Version History · </w:t>
      </w:r>
      <w:r>
        <w:rPr>
          <w:rFonts w:ascii="Calibri" w:eastAsia="Calibri" w:hAnsi="Calibri"/>
          <w:color w:val="14756A"/>
          <w:sz w:val="25"/>
          <w:rtl/>
        </w:rPr>
        <w:t>سجل الإصدارات</w:t>
      </w:r>
    </w:p>
    <w:tbl>
      <w:tblPr>
        <w:tblW w:w="9360" w:type="dxa"/>
        <w:jc w:val="center"/>
        <w:tblLayout w:type="fixed"/>
        <w:tblCellMar>
          <w:top w:w="40" w:type="dxa"/>
          <w:left w:w="90" w:type="dxa"/>
          <w:bottom w:w="40" w:type="dxa"/>
          <w:right w:w="90" w:type="dxa"/>
        </w:tblCellMar>
        <w:tblLook w:val="04A0" w:firstRow="1" w:lastRow="0" w:firstColumn="1" w:lastColumn="0" w:noHBand="0" w:noVBand="1"/>
      </w:tblPr>
      <w:tblGrid>
        <w:gridCol w:w="1872"/>
        <w:gridCol w:w="1872"/>
        <w:gridCol w:w="1872"/>
        <w:gridCol w:w="1872"/>
        <w:gridCol w:w="1872"/>
      </w:tblGrid>
      <w:tr w:rsidR="00CD5946" w14:paraId="22F72AFF" w14:textId="77777777">
        <w:trPr>
          <w:cantSplit/>
          <w:jc w:val="center"/>
        </w:trPr>
        <w:tc>
          <w:tcPr>
            <w:tcW w:w="1872" w:type="dxa"/>
            <w:tcBorders>
              <w:top w:val="single" w:sz="4" w:space="0" w:color="D8E0DD"/>
              <w:left w:val="single" w:sz="4" w:space="0" w:color="D8E0DD"/>
              <w:bottom w:val="single" w:sz="4" w:space="0" w:color="D8E0DD"/>
              <w:right w:val="single" w:sz="4" w:space="0" w:color="D8E0DD"/>
            </w:tcBorders>
            <w:shd w:val="clear" w:color="auto" w:fill="0E5A50"/>
            <w:vAlign w:val="center"/>
          </w:tcPr>
          <w:p w14:paraId="480769E5" w14:textId="77777777" w:rsidR="00CD5946" w:rsidRDefault="00000000">
            <w:pPr>
              <w:spacing w:before="20" w:after="20" w:line="240" w:lineRule="auto"/>
              <w:jc w:val="center"/>
            </w:pPr>
            <w:r>
              <w:rPr>
                <w:rFonts w:ascii="Calibri" w:eastAsia="Calibri" w:hAnsi="Calibri"/>
                <w:b/>
                <w:color w:val="FFFFFF"/>
                <w:sz w:val="19"/>
              </w:rPr>
              <w:t>Version</w:t>
            </w:r>
          </w:p>
        </w:tc>
        <w:tc>
          <w:tcPr>
            <w:tcW w:w="1872" w:type="dxa"/>
            <w:tcBorders>
              <w:top w:val="single" w:sz="4" w:space="0" w:color="D8E0DD"/>
              <w:left w:val="single" w:sz="4" w:space="0" w:color="D8E0DD"/>
              <w:bottom w:val="single" w:sz="4" w:space="0" w:color="D8E0DD"/>
              <w:right w:val="single" w:sz="4" w:space="0" w:color="D8E0DD"/>
            </w:tcBorders>
            <w:shd w:val="clear" w:color="auto" w:fill="0E5A50"/>
            <w:vAlign w:val="center"/>
          </w:tcPr>
          <w:p w14:paraId="5F765ABE" w14:textId="77777777" w:rsidR="00CD5946" w:rsidRDefault="00000000">
            <w:pPr>
              <w:spacing w:before="20" w:after="20" w:line="240" w:lineRule="auto"/>
              <w:jc w:val="center"/>
            </w:pPr>
            <w:r>
              <w:rPr>
                <w:rFonts w:ascii="Calibri" w:eastAsia="Calibri" w:hAnsi="Calibri"/>
                <w:b/>
                <w:color w:val="FFFFFF"/>
                <w:sz w:val="19"/>
              </w:rPr>
              <w:t>Date</w:t>
            </w:r>
          </w:p>
        </w:tc>
        <w:tc>
          <w:tcPr>
            <w:tcW w:w="1872" w:type="dxa"/>
            <w:tcBorders>
              <w:top w:val="single" w:sz="4" w:space="0" w:color="D8E0DD"/>
              <w:left w:val="single" w:sz="4" w:space="0" w:color="D8E0DD"/>
              <w:bottom w:val="single" w:sz="4" w:space="0" w:color="D8E0DD"/>
              <w:right w:val="single" w:sz="4" w:space="0" w:color="D8E0DD"/>
            </w:tcBorders>
            <w:shd w:val="clear" w:color="auto" w:fill="0E5A50"/>
            <w:vAlign w:val="center"/>
          </w:tcPr>
          <w:p w14:paraId="5A842215" w14:textId="77777777" w:rsidR="00CD5946" w:rsidRDefault="00000000">
            <w:pPr>
              <w:spacing w:before="20" w:after="20" w:line="240" w:lineRule="auto"/>
              <w:jc w:val="center"/>
            </w:pPr>
            <w:r>
              <w:rPr>
                <w:rFonts w:ascii="Calibri" w:eastAsia="Calibri" w:hAnsi="Calibri"/>
                <w:b/>
                <w:color w:val="FFFFFF"/>
                <w:sz w:val="19"/>
              </w:rPr>
              <w:t>Owner</w:t>
            </w:r>
          </w:p>
        </w:tc>
        <w:tc>
          <w:tcPr>
            <w:tcW w:w="1872" w:type="dxa"/>
            <w:tcBorders>
              <w:top w:val="single" w:sz="4" w:space="0" w:color="D8E0DD"/>
              <w:left w:val="single" w:sz="4" w:space="0" w:color="D8E0DD"/>
              <w:bottom w:val="single" w:sz="4" w:space="0" w:color="D8E0DD"/>
              <w:right w:val="single" w:sz="4" w:space="0" w:color="D8E0DD"/>
            </w:tcBorders>
            <w:shd w:val="clear" w:color="auto" w:fill="0E5A50"/>
            <w:vAlign w:val="center"/>
          </w:tcPr>
          <w:p w14:paraId="1A1C7186" w14:textId="77777777" w:rsidR="00CD5946" w:rsidRDefault="00000000">
            <w:pPr>
              <w:spacing w:before="20" w:after="20" w:line="240" w:lineRule="auto"/>
              <w:jc w:val="center"/>
            </w:pPr>
            <w:r>
              <w:rPr>
                <w:rFonts w:ascii="Calibri" w:eastAsia="Calibri" w:hAnsi="Calibri"/>
                <w:b/>
                <w:color w:val="FFFFFF"/>
                <w:sz w:val="19"/>
              </w:rPr>
              <w:t>Summary of change</w:t>
            </w:r>
          </w:p>
        </w:tc>
        <w:tc>
          <w:tcPr>
            <w:tcW w:w="1872" w:type="dxa"/>
            <w:tcBorders>
              <w:top w:val="single" w:sz="4" w:space="0" w:color="D8E0DD"/>
              <w:left w:val="single" w:sz="4" w:space="0" w:color="D8E0DD"/>
              <w:bottom w:val="single" w:sz="4" w:space="0" w:color="D8E0DD"/>
              <w:right w:val="single" w:sz="4" w:space="0" w:color="D8E0DD"/>
            </w:tcBorders>
            <w:shd w:val="clear" w:color="auto" w:fill="0E5A50"/>
            <w:vAlign w:val="center"/>
          </w:tcPr>
          <w:p w14:paraId="503BD8C0" w14:textId="77777777" w:rsidR="00CD5946" w:rsidRDefault="00000000">
            <w:pPr>
              <w:spacing w:before="20" w:after="20" w:line="240" w:lineRule="auto"/>
              <w:jc w:val="center"/>
            </w:pPr>
            <w:r>
              <w:rPr>
                <w:rFonts w:ascii="Calibri" w:eastAsia="Calibri" w:hAnsi="Calibri"/>
                <w:b/>
                <w:color w:val="FFFFFF"/>
                <w:sz w:val="19"/>
              </w:rPr>
              <w:t>Status</w:t>
            </w:r>
          </w:p>
        </w:tc>
      </w:tr>
      <w:tr w:rsidR="00674549" w14:paraId="74962DBC" w14:textId="77777777">
        <w:trPr>
          <w:cantSplit/>
          <w:jc w:val="center"/>
        </w:trPr>
        <w:tc>
          <w:tcPr>
            <w:tcW w:w="1872" w:type="dxa"/>
          </w:tcPr>
          <w:p w14:paraId="7F394C07" w14:textId="77777777" w:rsidR="00674549" w:rsidRDefault="00000000">
            <w:r>
              <w:lastRenderedPageBreak/>
              <w:t>0.95</w:t>
            </w:r>
          </w:p>
        </w:tc>
        <w:tc>
          <w:tcPr>
            <w:tcW w:w="1872" w:type="dxa"/>
          </w:tcPr>
          <w:p w14:paraId="5426AF1D" w14:textId="77777777" w:rsidR="00674549" w:rsidRDefault="00000000">
            <w:r>
              <w:t>18 June 2026</w:t>
            </w:r>
          </w:p>
        </w:tc>
        <w:tc>
          <w:tcPr>
            <w:tcW w:w="1872" w:type="dxa"/>
          </w:tcPr>
          <w:p w14:paraId="6B18CE10" w14:textId="77777777" w:rsidR="00674549" w:rsidRDefault="00000000">
            <w:r>
              <w:t>AUPAM Experts’ Office</w:t>
            </w:r>
          </w:p>
        </w:tc>
        <w:tc>
          <w:tcPr>
            <w:tcW w:w="1872" w:type="dxa"/>
          </w:tcPr>
          <w:p w14:paraId="31A6368C" w14:textId="77777777" w:rsidR="00674549" w:rsidRDefault="00000000">
            <w:r>
              <w:t>Draft for Public Consultation released for international comment (open 18 June – 31 October 2026); supersedes all prior working drafts.</w:t>
            </w:r>
          </w:p>
        </w:tc>
        <w:tc>
          <w:tcPr>
            <w:tcW w:w="1872" w:type="dxa"/>
          </w:tcPr>
          <w:p w14:paraId="508760B7" w14:textId="77777777" w:rsidR="00674549" w:rsidRDefault="00000000">
            <w:r>
              <w:t>Open for consultation</w:t>
            </w:r>
          </w:p>
        </w:tc>
      </w:tr>
      <w:tr w:rsidR="00674549" w14:paraId="74962DBC" w14:textId="77777777">
        <w:trPr>
          <w:cantSplit/>
          <w:jc w:val="center"/>
        </w:trPr>
        <w:tc>
          <w:tcPr>
            <w:tcW w:w="1872" w:type="dxa"/>
          </w:tcPr>
          <w:p w14:paraId="7F394C07" w14:textId="77777777" w:rsidR="00674549" w:rsidRDefault="00000000">
            <w:r>
              <w:lastRenderedPageBreak/>
              <w:t>0.96</w:t>
            </w:r>
          </w:p>
        </w:tc>
        <w:tc>
          <w:tcPr>
            <w:tcW w:w="1872" w:type="dxa"/>
          </w:tcPr>
          <w:p w14:paraId="5426AF1D" w14:textId="77777777" w:rsidR="00674549" w:rsidRDefault="00000000">
            <w:r>
              <w:t>13 August 2026</w:t>
            </w:r>
          </w:p>
        </w:tc>
        <w:tc>
          <w:tcPr>
            <w:tcW w:w="1872" w:type="dxa"/>
          </w:tcPr>
          <w:p w14:paraId="6B18CE10" w14:textId="77777777" w:rsidR="00674549" w:rsidRDefault="00000000">
            <w:r>
              <w:t>AUPAM Experts’ Office</w:t>
            </w:r>
          </w:p>
        </w:tc>
        <w:tc>
          <w:tcPr>
            <w:tcW w:w="1872" w:type="dxa"/>
          </w:tcPr>
          <w:p w14:paraId="31A6368C" w14:textId="77777777" w:rsidR="00674549" w:rsidRDefault="00000000">
            <w:r>
              <w:t>Technical corrigenda and additions after expert verification: Annex 1 (2022) classification/monitoring particle tables and APS acceptance criteria corrected; PUPSIT default restored; biological annexes renumbered to PIC/S/SFDA semantics (Annex 2B; Arab Annex A-TBP); GCC stability zone corrected to Zone III/IVa; nitrosamine &amp; mutagenic-impurity framework added (Ch. 5.4.3, II.13, Appendix B); Annex 19 (rev. 2026) anticipated; A-DI expanded (DI.2–DI.6); A-AI aligned to draft Annex 22 incl. generative-AI clause; aseptic terminology unified in Arabic; reference dates corrected (PE 009-17, TRS 1033, E6(R3), M13 series).</w:t>
            </w:r>
          </w:p>
        </w:tc>
        <w:tc>
          <w:tcPr>
            <w:tcW w:w="1872" w:type="dxa"/>
          </w:tcPr>
          <w:p w14:paraId="508760B7" w14:textId="77777777" w:rsidR="00674549" w:rsidRDefault="00000000">
            <w:r>
              <w:t>Open for consultation</w:t>
            </w:r>
          </w:p>
        </w:tc>
      </w:tr>
    </w:tbl>
    <w:p w14:paraId="40657CA8" w14:textId="77777777" w:rsidR="00CD5946" w:rsidRDefault="00000000">
      <w:pPr>
        <w:pStyle w:val="Heading1"/>
        <w:spacing w:before="80"/>
      </w:pPr>
      <w:r>
        <w:br w:type="page"/>
      </w:r>
      <w:bookmarkStart w:id="2" w:name="__RefHeading___Toc9155_1729075678"/>
      <w:bookmarkEnd w:id="2"/>
      <w:r>
        <w:rPr>
          <w:rFonts w:ascii="Calibri" w:eastAsia="Calibri" w:hAnsi="Calibri"/>
          <w:color w:val="0E5A50"/>
        </w:rPr>
        <w:lastRenderedPageBreak/>
        <w:t xml:space="preserve">Endorsement, Approval &amp; Adoption · </w:t>
      </w:r>
      <w:r>
        <w:rPr>
          <w:rFonts w:ascii="Calibri" w:eastAsia="Calibri" w:hAnsi="Calibri"/>
          <w:color w:val="0E5A50"/>
          <w:rtl/>
        </w:rPr>
        <w:t>الاعتماد والإقرار والتبنّي</w:t>
      </w:r>
    </w:p>
    <w:p w14:paraId="106C2083" w14:textId="77777777" w:rsidR="00CD5946" w:rsidRDefault="00000000">
      <w:pPr>
        <w:spacing w:before="40" w:after="160"/>
      </w:pPr>
      <w:r>
        <w:t>This guideline is a model standard. It is released here as a Draft for Public Consultation. Following the consultation period and adjudication of comments by the Arab GMP Working Group, a final edition will be endorsed by the AUPAM Experts’ Office and offered to Arab national medicines regulatory authorities (NMRAs) for adoption, or adaptation, into their respective legal frameworks. Adoption by an authority establishes its legal force in that jurisdiction.</w:t>
      </w:r>
    </w:p>
    <w:tbl>
      <w:tblPr>
        <w:tblW w:w="9360" w:type="dxa"/>
        <w:jc w:val="center"/>
        <w:tblLayout w:type="fixed"/>
        <w:tblCellMar>
          <w:top w:w="40" w:type="dxa"/>
          <w:left w:w="90" w:type="dxa"/>
          <w:bottom w:w="40" w:type="dxa"/>
          <w:right w:w="90" w:type="dxa"/>
        </w:tblCellMar>
        <w:tblLook w:val="04A0" w:firstRow="1" w:lastRow="0" w:firstColumn="1" w:lastColumn="0" w:noHBand="0" w:noVBand="1"/>
      </w:tblPr>
      <w:tblGrid>
        <w:gridCol w:w="2340"/>
        <w:gridCol w:w="2340"/>
        <w:gridCol w:w="2340"/>
        <w:gridCol w:w="2340"/>
      </w:tblGrid>
      <w:tr w:rsidR="00CD5946" w14:paraId="5A8AC280" w14:textId="77777777">
        <w:trPr>
          <w:tblHeader/>
          <w:jc w:val="center"/>
        </w:trPr>
        <w:tc>
          <w:tcPr>
            <w:tcW w:w="2340" w:type="dxa"/>
            <w:tcBorders>
              <w:top w:val="single" w:sz="4" w:space="0" w:color="D8E0DD"/>
              <w:left w:val="single" w:sz="4" w:space="0" w:color="D8E0DD"/>
              <w:bottom w:val="single" w:sz="4" w:space="0" w:color="D8E0DD"/>
              <w:right w:val="single" w:sz="4" w:space="0" w:color="D8E0DD"/>
            </w:tcBorders>
            <w:shd w:val="clear" w:color="auto" w:fill="0E5A50"/>
            <w:vAlign w:val="center"/>
          </w:tcPr>
          <w:p w14:paraId="1F27EF26" w14:textId="77777777" w:rsidR="00CD5946" w:rsidRDefault="00000000">
            <w:pPr>
              <w:spacing w:before="20" w:after="20" w:line="240" w:lineRule="auto"/>
              <w:jc w:val="center"/>
            </w:pPr>
            <w:r>
              <w:rPr>
                <w:rFonts w:ascii="Calibri" w:eastAsia="Calibri" w:hAnsi="Calibri"/>
                <w:b/>
                <w:color w:val="FFFFFF"/>
                <w:sz w:val="19"/>
              </w:rPr>
              <w:t>Role</w:t>
            </w:r>
          </w:p>
        </w:tc>
        <w:tc>
          <w:tcPr>
            <w:tcW w:w="2340" w:type="dxa"/>
            <w:tcBorders>
              <w:top w:val="single" w:sz="4" w:space="0" w:color="D8E0DD"/>
              <w:left w:val="single" w:sz="4" w:space="0" w:color="D8E0DD"/>
              <w:bottom w:val="single" w:sz="4" w:space="0" w:color="D8E0DD"/>
              <w:right w:val="single" w:sz="4" w:space="0" w:color="D8E0DD"/>
            </w:tcBorders>
            <w:shd w:val="clear" w:color="auto" w:fill="0E5A50"/>
            <w:vAlign w:val="center"/>
          </w:tcPr>
          <w:p w14:paraId="5A0E4910" w14:textId="77777777" w:rsidR="00CD5946" w:rsidRDefault="00000000">
            <w:pPr>
              <w:spacing w:before="20" w:after="20" w:line="240" w:lineRule="auto"/>
              <w:jc w:val="center"/>
            </w:pPr>
            <w:r>
              <w:rPr>
                <w:rFonts w:ascii="Calibri" w:eastAsia="Calibri" w:hAnsi="Calibri"/>
                <w:b/>
                <w:color w:val="FFFFFF"/>
                <w:sz w:val="19"/>
              </w:rPr>
              <w:t>Name</w:t>
            </w:r>
          </w:p>
        </w:tc>
        <w:tc>
          <w:tcPr>
            <w:tcW w:w="2340" w:type="dxa"/>
            <w:tcBorders>
              <w:top w:val="single" w:sz="4" w:space="0" w:color="D8E0DD"/>
              <w:left w:val="single" w:sz="4" w:space="0" w:color="D8E0DD"/>
              <w:bottom w:val="single" w:sz="4" w:space="0" w:color="D8E0DD"/>
              <w:right w:val="single" w:sz="4" w:space="0" w:color="D8E0DD"/>
            </w:tcBorders>
            <w:shd w:val="clear" w:color="auto" w:fill="0E5A50"/>
            <w:vAlign w:val="center"/>
          </w:tcPr>
          <w:p w14:paraId="7115D6DB" w14:textId="77777777" w:rsidR="00CD5946" w:rsidRDefault="00000000">
            <w:pPr>
              <w:spacing w:before="20" w:after="20" w:line="240" w:lineRule="auto"/>
              <w:jc w:val="center"/>
            </w:pPr>
            <w:r>
              <w:rPr>
                <w:rFonts w:ascii="Calibri" w:eastAsia="Calibri" w:hAnsi="Calibri"/>
                <w:b/>
                <w:color w:val="FFFFFF"/>
                <w:sz w:val="19"/>
              </w:rPr>
              <w:t>Signature</w:t>
            </w:r>
          </w:p>
        </w:tc>
        <w:tc>
          <w:tcPr>
            <w:tcW w:w="2340" w:type="dxa"/>
            <w:tcBorders>
              <w:top w:val="single" w:sz="4" w:space="0" w:color="D8E0DD"/>
              <w:left w:val="single" w:sz="4" w:space="0" w:color="D8E0DD"/>
              <w:bottom w:val="single" w:sz="4" w:space="0" w:color="D8E0DD"/>
              <w:right w:val="single" w:sz="4" w:space="0" w:color="D8E0DD"/>
            </w:tcBorders>
            <w:shd w:val="clear" w:color="auto" w:fill="0E5A50"/>
            <w:vAlign w:val="center"/>
          </w:tcPr>
          <w:p w14:paraId="6DE08CE9" w14:textId="77777777" w:rsidR="00CD5946" w:rsidRDefault="00000000">
            <w:pPr>
              <w:spacing w:before="20" w:after="20" w:line="240" w:lineRule="auto"/>
              <w:jc w:val="center"/>
            </w:pPr>
            <w:r>
              <w:rPr>
                <w:rFonts w:ascii="Calibri" w:eastAsia="Calibri" w:hAnsi="Calibri"/>
                <w:b/>
                <w:color w:val="FFFFFF"/>
                <w:sz w:val="19"/>
              </w:rPr>
              <w:t>Date</w:t>
            </w:r>
          </w:p>
        </w:tc>
      </w:tr>
      <w:tr w:rsidR="00CD5946" w14:paraId="79D3F690" w14:textId="77777777">
        <w:trPr>
          <w:trHeight w:val="520"/>
          <w:jc w:val="center"/>
        </w:trPr>
        <w:tc>
          <w:tcPr>
            <w:tcW w:w="2340" w:type="dxa"/>
            <w:tcBorders>
              <w:top w:val="single" w:sz="4" w:space="0" w:color="D8E0DD"/>
              <w:left w:val="single" w:sz="4" w:space="0" w:color="D8E0DD"/>
              <w:bottom w:val="single" w:sz="4" w:space="0" w:color="D8E0DD"/>
              <w:right w:val="single" w:sz="4" w:space="0" w:color="D8E0DD"/>
            </w:tcBorders>
            <w:vAlign w:val="center"/>
          </w:tcPr>
          <w:p w14:paraId="18548C15" w14:textId="77777777" w:rsidR="00CD5946" w:rsidRDefault="00000000">
            <w:pPr>
              <w:spacing w:before="20" w:after="20" w:line="240" w:lineRule="auto"/>
            </w:pPr>
            <w:r>
              <w:rPr>
                <w:rFonts w:ascii="Calibri" w:eastAsia="Calibri" w:hAnsi="Calibri"/>
                <w:sz w:val="19"/>
              </w:rPr>
              <w:t>Prepared / edited by</w:t>
            </w:r>
          </w:p>
        </w:tc>
        <w:tc>
          <w:tcPr>
            <w:tcW w:w="2340" w:type="dxa"/>
            <w:tcBorders>
              <w:top w:val="single" w:sz="4" w:space="0" w:color="D8E0DD"/>
              <w:left w:val="single" w:sz="4" w:space="0" w:color="D8E0DD"/>
              <w:bottom w:val="single" w:sz="4" w:space="0" w:color="D8E0DD"/>
              <w:right w:val="single" w:sz="4" w:space="0" w:color="D8E0DD"/>
            </w:tcBorders>
            <w:vAlign w:val="center"/>
          </w:tcPr>
          <w:p w14:paraId="7E8EC476" w14:textId="77777777" w:rsidR="00CD5946" w:rsidRDefault="00000000">
            <w:pPr>
              <w:spacing w:before="20" w:after="20" w:line="240" w:lineRule="auto"/>
            </w:pPr>
            <w:r>
              <w:rPr>
                <w:rFonts w:ascii="Calibri" w:eastAsia="Calibri" w:hAnsi="Calibri"/>
                <w:sz w:val="19"/>
              </w:rPr>
              <w:t>Assoc. Prof. Dr. rer. nat. Osama Abd Elrahman, Chairman, AUPAM Experts’ Office</w:t>
            </w:r>
          </w:p>
        </w:tc>
        <w:tc>
          <w:tcPr>
            <w:tcW w:w="2340" w:type="dxa"/>
            <w:tcBorders>
              <w:top w:val="single" w:sz="4" w:space="0" w:color="D8E0DD"/>
              <w:left w:val="single" w:sz="4" w:space="0" w:color="D8E0DD"/>
              <w:bottom w:val="single" w:sz="4" w:space="0" w:color="D8E0DD"/>
              <w:right w:val="single" w:sz="4" w:space="0" w:color="D8E0DD"/>
            </w:tcBorders>
            <w:vAlign w:val="center"/>
          </w:tcPr>
          <w:p w14:paraId="4613E3F8" w14:textId="77777777" w:rsidR="00CD5946" w:rsidRDefault="00CD5946">
            <w:pPr>
              <w:spacing w:before="20" w:after="20" w:line="240" w:lineRule="auto"/>
              <w:rPr>
                <w:rFonts w:ascii="Calibri" w:eastAsia="Calibri" w:hAnsi="Calibri"/>
                <w:sz w:val="19"/>
              </w:rPr>
            </w:pPr>
          </w:p>
        </w:tc>
        <w:tc>
          <w:tcPr>
            <w:tcW w:w="2340" w:type="dxa"/>
            <w:tcBorders>
              <w:top w:val="single" w:sz="4" w:space="0" w:color="D8E0DD"/>
              <w:left w:val="single" w:sz="4" w:space="0" w:color="D8E0DD"/>
              <w:bottom w:val="single" w:sz="4" w:space="0" w:color="D8E0DD"/>
              <w:right w:val="single" w:sz="4" w:space="0" w:color="D8E0DD"/>
            </w:tcBorders>
            <w:vAlign w:val="center"/>
          </w:tcPr>
          <w:p w14:paraId="041D79BD" w14:textId="77777777" w:rsidR="00CD5946" w:rsidRDefault="00CD5946">
            <w:pPr>
              <w:spacing w:before="20" w:after="20" w:line="240" w:lineRule="auto"/>
              <w:rPr>
                <w:rFonts w:ascii="Calibri" w:eastAsia="Calibri" w:hAnsi="Calibri"/>
                <w:sz w:val="19"/>
              </w:rPr>
            </w:pPr>
          </w:p>
        </w:tc>
      </w:tr>
      <w:tr w:rsidR="00CD5946" w14:paraId="2AC18752" w14:textId="77777777">
        <w:trPr>
          <w:trHeight w:val="520"/>
          <w:jc w:val="center"/>
        </w:trPr>
        <w:tc>
          <w:tcPr>
            <w:tcW w:w="234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53A6E746" w14:textId="77777777" w:rsidR="00CD5946" w:rsidRDefault="00000000">
            <w:pPr>
              <w:spacing w:before="20" w:after="20" w:line="240" w:lineRule="auto"/>
            </w:pPr>
            <w:r>
              <w:rPr>
                <w:rFonts w:ascii="Calibri" w:eastAsia="Calibri" w:hAnsi="Calibri"/>
                <w:sz w:val="19"/>
              </w:rPr>
              <w:t>Reviewed by</w:t>
            </w:r>
          </w:p>
        </w:tc>
        <w:tc>
          <w:tcPr>
            <w:tcW w:w="234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45035719" w14:textId="77777777" w:rsidR="00CD5946" w:rsidRDefault="00000000">
            <w:pPr>
              <w:spacing w:before="20" w:after="20" w:line="240" w:lineRule="auto"/>
            </w:pPr>
            <w:r>
              <w:rPr>
                <w:rFonts w:ascii="Calibri" w:eastAsia="Calibri" w:hAnsi="Calibri"/>
                <w:sz w:val="19"/>
              </w:rPr>
              <w:t>Arab GMP Working Group (technical reviewers)</w:t>
            </w:r>
          </w:p>
        </w:tc>
        <w:tc>
          <w:tcPr>
            <w:tcW w:w="234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2C313ECA" w14:textId="77777777" w:rsidR="00CD5946" w:rsidRDefault="00CD5946">
            <w:pPr>
              <w:spacing w:before="20" w:after="20" w:line="240" w:lineRule="auto"/>
              <w:rPr>
                <w:rFonts w:ascii="Calibri" w:eastAsia="Calibri" w:hAnsi="Calibri"/>
                <w:sz w:val="19"/>
              </w:rPr>
            </w:pPr>
          </w:p>
        </w:tc>
        <w:tc>
          <w:tcPr>
            <w:tcW w:w="234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784283A7" w14:textId="77777777" w:rsidR="00CD5946" w:rsidRDefault="00CD5946">
            <w:pPr>
              <w:spacing w:before="20" w:after="20" w:line="240" w:lineRule="auto"/>
              <w:rPr>
                <w:rFonts w:ascii="Calibri" w:eastAsia="Calibri" w:hAnsi="Calibri"/>
                <w:sz w:val="19"/>
              </w:rPr>
            </w:pPr>
          </w:p>
        </w:tc>
      </w:tr>
      <w:tr w:rsidR="00CD5946" w14:paraId="7C21E45A" w14:textId="77777777">
        <w:trPr>
          <w:trHeight w:val="520"/>
          <w:jc w:val="center"/>
        </w:trPr>
        <w:tc>
          <w:tcPr>
            <w:tcW w:w="2340" w:type="dxa"/>
            <w:tcBorders>
              <w:top w:val="single" w:sz="4" w:space="0" w:color="D8E0DD"/>
              <w:left w:val="single" w:sz="4" w:space="0" w:color="D8E0DD"/>
              <w:bottom w:val="single" w:sz="4" w:space="0" w:color="D8E0DD"/>
              <w:right w:val="single" w:sz="4" w:space="0" w:color="D8E0DD"/>
            </w:tcBorders>
            <w:vAlign w:val="center"/>
          </w:tcPr>
          <w:p w14:paraId="5D710CC2" w14:textId="77777777" w:rsidR="00CD5946" w:rsidRDefault="00000000">
            <w:pPr>
              <w:spacing w:before="20" w:after="20" w:line="240" w:lineRule="auto"/>
            </w:pPr>
            <w:r>
              <w:rPr>
                <w:rFonts w:ascii="Calibri" w:eastAsia="Calibri" w:hAnsi="Calibri"/>
                <w:sz w:val="19"/>
              </w:rPr>
              <w:t>Endorsed by</w:t>
            </w:r>
          </w:p>
        </w:tc>
        <w:tc>
          <w:tcPr>
            <w:tcW w:w="2340" w:type="dxa"/>
            <w:tcBorders>
              <w:top w:val="single" w:sz="4" w:space="0" w:color="D8E0DD"/>
              <w:left w:val="single" w:sz="4" w:space="0" w:color="D8E0DD"/>
              <w:bottom w:val="single" w:sz="4" w:space="0" w:color="D8E0DD"/>
              <w:right w:val="single" w:sz="4" w:space="0" w:color="D8E0DD"/>
            </w:tcBorders>
            <w:vAlign w:val="center"/>
          </w:tcPr>
          <w:p w14:paraId="5503629D" w14:textId="77777777" w:rsidR="00CD5946" w:rsidRDefault="00000000">
            <w:pPr>
              <w:spacing w:before="20" w:after="20" w:line="240" w:lineRule="auto"/>
            </w:pPr>
            <w:r>
              <w:rPr>
                <w:rFonts w:ascii="Calibri" w:eastAsia="Calibri" w:hAnsi="Calibri"/>
                <w:sz w:val="19"/>
              </w:rPr>
              <w:t>AUPAM Experts’ Office</w:t>
            </w:r>
          </w:p>
        </w:tc>
        <w:tc>
          <w:tcPr>
            <w:tcW w:w="2340" w:type="dxa"/>
            <w:tcBorders>
              <w:top w:val="single" w:sz="4" w:space="0" w:color="D8E0DD"/>
              <w:left w:val="single" w:sz="4" w:space="0" w:color="D8E0DD"/>
              <w:bottom w:val="single" w:sz="4" w:space="0" w:color="D8E0DD"/>
              <w:right w:val="single" w:sz="4" w:space="0" w:color="D8E0DD"/>
            </w:tcBorders>
            <w:vAlign w:val="center"/>
          </w:tcPr>
          <w:p w14:paraId="7DEB0FB3" w14:textId="77777777" w:rsidR="00CD5946" w:rsidRDefault="00CD5946">
            <w:pPr>
              <w:spacing w:before="20" w:after="20" w:line="240" w:lineRule="auto"/>
              <w:rPr>
                <w:rFonts w:ascii="Calibri" w:eastAsia="Calibri" w:hAnsi="Calibri"/>
                <w:sz w:val="19"/>
              </w:rPr>
            </w:pPr>
          </w:p>
        </w:tc>
        <w:tc>
          <w:tcPr>
            <w:tcW w:w="2340" w:type="dxa"/>
            <w:tcBorders>
              <w:top w:val="single" w:sz="4" w:space="0" w:color="D8E0DD"/>
              <w:left w:val="single" w:sz="4" w:space="0" w:color="D8E0DD"/>
              <w:bottom w:val="single" w:sz="4" w:space="0" w:color="D8E0DD"/>
              <w:right w:val="single" w:sz="4" w:space="0" w:color="D8E0DD"/>
            </w:tcBorders>
            <w:vAlign w:val="center"/>
          </w:tcPr>
          <w:p w14:paraId="3DC65118" w14:textId="77777777" w:rsidR="00CD5946" w:rsidRDefault="00CD5946">
            <w:pPr>
              <w:spacing w:before="20" w:after="20" w:line="240" w:lineRule="auto"/>
              <w:rPr>
                <w:rFonts w:ascii="Calibri" w:eastAsia="Calibri" w:hAnsi="Calibri"/>
                <w:sz w:val="19"/>
              </w:rPr>
            </w:pPr>
          </w:p>
        </w:tc>
      </w:tr>
      <w:tr w:rsidR="00CD5946" w14:paraId="0B460A8E" w14:textId="77777777">
        <w:trPr>
          <w:trHeight w:val="520"/>
          <w:jc w:val="center"/>
        </w:trPr>
        <w:tc>
          <w:tcPr>
            <w:tcW w:w="234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3B423A58" w14:textId="77777777" w:rsidR="00CD5946" w:rsidRDefault="00000000">
            <w:pPr>
              <w:spacing w:before="20" w:after="20" w:line="240" w:lineRule="auto"/>
            </w:pPr>
            <w:r>
              <w:rPr>
                <w:rFonts w:ascii="Calibri" w:eastAsia="Calibri" w:hAnsi="Calibri"/>
                <w:sz w:val="19"/>
              </w:rPr>
              <w:t>Adopted by</w:t>
            </w:r>
          </w:p>
        </w:tc>
        <w:tc>
          <w:tcPr>
            <w:tcW w:w="234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76C5204D" w14:textId="77777777" w:rsidR="00CD5946" w:rsidRDefault="00000000">
            <w:pPr>
              <w:spacing w:before="20" w:after="20" w:line="240" w:lineRule="auto"/>
            </w:pPr>
            <w:r>
              <w:rPr>
                <w:rFonts w:ascii="Calibri" w:eastAsia="Calibri" w:hAnsi="Calibri"/>
                <w:sz w:val="19"/>
              </w:rPr>
              <w:t>〈 National Medicines Regulatory Authority 〉</w:t>
            </w:r>
          </w:p>
        </w:tc>
        <w:tc>
          <w:tcPr>
            <w:tcW w:w="234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03751E1E" w14:textId="77777777" w:rsidR="00CD5946" w:rsidRDefault="00CD5946">
            <w:pPr>
              <w:spacing w:before="20" w:after="20" w:line="240" w:lineRule="auto"/>
              <w:rPr>
                <w:rFonts w:ascii="Calibri" w:eastAsia="Calibri" w:hAnsi="Calibri"/>
                <w:sz w:val="19"/>
              </w:rPr>
            </w:pPr>
          </w:p>
        </w:tc>
        <w:tc>
          <w:tcPr>
            <w:tcW w:w="234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3F1106FE" w14:textId="77777777" w:rsidR="00CD5946" w:rsidRDefault="00CD5946">
            <w:pPr>
              <w:spacing w:before="20" w:after="20" w:line="240" w:lineRule="auto"/>
              <w:rPr>
                <w:rFonts w:ascii="Calibri" w:eastAsia="Calibri" w:hAnsi="Calibri"/>
                <w:sz w:val="19"/>
              </w:rPr>
            </w:pPr>
          </w:p>
        </w:tc>
      </w:tr>
    </w:tbl>
    <w:p w14:paraId="190F999E" w14:textId="77777777" w:rsidR="00CD5946" w:rsidRDefault="00CD5946">
      <w:pPr>
        <w:spacing w:before="160"/>
      </w:pPr>
    </w:p>
    <w:p w14:paraId="06850670" w14:textId="77777777" w:rsidR="00CD5946" w:rsidRDefault="00000000">
      <w:pPr>
        <w:pStyle w:val="Heading2"/>
        <w:spacing w:after="120"/>
      </w:pPr>
      <w:bookmarkStart w:id="3" w:name="__RefHeading___Toc9157_1729075678"/>
      <w:bookmarkEnd w:id="3"/>
      <w:r>
        <w:rPr>
          <w:rFonts w:ascii="Calibri" w:eastAsia="Calibri" w:hAnsi="Calibri"/>
          <w:color w:val="14756A"/>
          <w:sz w:val="25"/>
        </w:rPr>
        <w:t xml:space="preserve">Controlled Document Notice · </w:t>
      </w:r>
      <w:r>
        <w:rPr>
          <w:rFonts w:ascii="Calibri" w:eastAsia="Calibri" w:hAnsi="Calibri"/>
          <w:color w:val="14756A"/>
          <w:sz w:val="25"/>
          <w:rtl/>
        </w:rPr>
        <w:t>إشعار الوثيقة الخاضعة للضبط</w:t>
      </w:r>
    </w:p>
    <w:p w14:paraId="3854A777" w14:textId="77777777" w:rsidR="00CD5946" w:rsidRDefault="00000000">
      <w:pPr>
        <w:spacing w:before="40" w:after="80"/>
      </w:pPr>
      <w:r>
        <w:rPr>
          <w:b/>
          <w:color w:val="0E5A50"/>
          <w:sz w:val="20"/>
        </w:rPr>
        <w:t xml:space="preserve">Controlled copy. </w:t>
      </w:r>
      <w:r>
        <w:rPr>
          <w:sz w:val="20"/>
        </w:rPr>
        <w:t>The authoritative version is the electronically issued master held by the AUPAM Experts’ Office. Printed or downloaded copies are uncontrolled and valid only on the date of printing.</w:t>
      </w:r>
    </w:p>
    <w:p w14:paraId="22A96396" w14:textId="77777777" w:rsidR="00CD5946" w:rsidRDefault="00000000">
      <w:pPr>
        <w:spacing w:before="40" w:after="80"/>
      </w:pPr>
      <w:r>
        <w:rPr>
          <w:b/>
          <w:color w:val="0E5A50"/>
          <w:sz w:val="20"/>
        </w:rPr>
        <w:t>Status. Version 0.96 is a Draft for Public Consultation issued by the AUPAM Experts’ Office. It is not a regulatory text and shall not be cited in dossiers, assessment reports or inspections during the consultation period. Numeric acceptance limits are a controlled, dated register, to be verified against the pharmacopoeia and source standard in force at the time of use; stakeholders are specifically invited to comment on them.</w:t>
      </w:r>
    </w:p>
    <w:p w14:paraId="575E45C9" w14:textId="77777777" w:rsidR="00CD5946" w:rsidRDefault="00000000">
      <w:pPr>
        <w:spacing w:before="40" w:after="80"/>
      </w:pPr>
      <w:r>
        <w:rPr>
          <w:b/>
          <w:color w:val="0E5A50"/>
          <w:sz w:val="20"/>
        </w:rPr>
        <w:t xml:space="preserve">Intellectual property. </w:t>
      </w:r>
      <w:r>
        <w:rPr>
          <w:sz w:val="20"/>
        </w:rPr>
        <w:t>© 2026 AUPAM Experts’ Office. Reproduced and adapted from publicly available standards (EU GMP, PIC/S, ICH, WHO, US FDA, SFDA) for harmonisation purposes. May be reproduced for non-commercial regulatory and educational use with attribution.</w:t>
      </w:r>
    </w:p>
    <w:p w14:paraId="56A8171F" w14:textId="77777777" w:rsidR="00CD5946" w:rsidRDefault="00000000">
      <w:pPr>
        <w:spacing w:before="40" w:after="80"/>
      </w:pPr>
      <w:r>
        <w:rPr>
          <w:b/>
          <w:color w:val="0E5A50"/>
          <w:sz w:val="20"/>
        </w:rPr>
        <w:t xml:space="preserve">Authoritative language. </w:t>
      </w:r>
      <w:r>
        <w:rPr>
          <w:sz w:val="20"/>
        </w:rPr>
        <w:t>The English text is authoritative; the Arabic is provided in parallel for regional accessibility. In any discrepancy, the English text and the cited source standard prevail.</w:t>
      </w:r>
    </w:p>
    <w:p w14:paraId="098BD7B5" w14:textId="77777777" w:rsidR="00CD5946" w:rsidRDefault="00000000">
      <w:pPr>
        <w:spacing w:before="40" w:after="80"/>
      </w:pPr>
      <w:r>
        <w:rPr>
          <w:b/>
          <w:color w:val="0E5A50"/>
          <w:sz w:val="20"/>
        </w:rPr>
        <w:t xml:space="preserve">Disclaimer. </w:t>
      </w:r>
      <w:r>
        <w:rPr>
          <w:sz w:val="20"/>
        </w:rPr>
        <w:t>This guideline consolidates and harmonises international standards. It does not supersede the in-force requirements of any competent authority. Where a national requirement is more stringent, the national requirement applies.</w:t>
      </w:r>
    </w:p>
    <w:p w14:paraId="54DEED41" w14:textId="77777777" w:rsidR="00CD5946" w:rsidRDefault="00000000">
      <w:pPr>
        <w:spacing w:before="40" w:after="80"/>
      </w:pPr>
      <w:r>
        <w:rPr>
          <w:b/>
          <w:color w:val="0E5A50"/>
          <w:sz w:val="20"/>
        </w:rPr>
        <w:t xml:space="preserve">Maintenance &amp; feedback. </w:t>
      </w:r>
      <w:r>
        <w:rPr>
          <w:sz w:val="20"/>
        </w:rPr>
        <w:t>Reviewed annually by the Arab GMP Working Group. Comments to the AUPAM Experts’ Office, attention of the Chairman.</w:t>
      </w:r>
      <w:r>
        <w:br w:type="page"/>
      </w:r>
    </w:p>
    <w:p w14:paraId="0740C0CA" w14:textId="77777777" w:rsidR="00CD5946" w:rsidRDefault="00000000">
      <w:pPr>
        <w:pStyle w:val="Heading1"/>
        <w:spacing w:before="0"/>
      </w:pPr>
      <w:bookmarkStart w:id="4" w:name="__RefHeading___Toc9159_1729075678"/>
      <w:bookmarkEnd w:id="4"/>
      <w:r>
        <w:rPr>
          <w:rFonts w:ascii="Calibri" w:eastAsia="Calibri" w:hAnsi="Calibri"/>
          <w:color w:val="0E5A50"/>
        </w:rPr>
        <w:lastRenderedPageBreak/>
        <w:t xml:space="preserve">How to Use This Guideline · </w:t>
      </w:r>
      <w:r>
        <w:rPr>
          <w:rFonts w:ascii="Calibri" w:eastAsia="Calibri" w:hAnsi="Calibri"/>
          <w:color w:val="0E5A50"/>
          <w:rtl/>
        </w:rPr>
        <w:t>كيفية استخدام الدليل</w:t>
      </w:r>
    </w:p>
    <w:p w14:paraId="5A30C79E" w14:textId="77777777" w:rsidR="00CD5946" w:rsidRDefault="00000000">
      <w:pPr>
        <w:spacing w:before="40" w:after="80"/>
      </w:pPr>
      <w:r>
        <w:rPr>
          <w:b/>
          <w:color w:val="14756A"/>
        </w:rPr>
        <w:t xml:space="preserve">Structure. </w:t>
      </w:r>
      <w:r>
        <w:t>Each Part and Annex opens with a Principle (the binding framing) and, for annexes, a Scope. The requirements are written as numbered, citable clauses. Material set apart as a Note is informative — it explains intent or gives examples and is not, in itself, an additional requirement.</w:t>
      </w:r>
    </w:p>
    <w:p w14:paraId="1C66E81E" w14:textId="77777777" w:rsidR="00CD5946" w:rsidRDefault="00000000">
      <w:pPr>
        <w:spacing w:before="40" w:after="80"/>
      </w:pPr>
      <w:r>
        <w:rPr>
          <w:b/>
          <w:color w:val="14756A"/>
        </w:rPr>
        <w:t xml:space="preserve">Deontic conventions. </w:t>
      </w:r>
      <w:r>
        <w:t>“shall” denotes a requirement; “should” a recommendation; “may” an option. Clause numbers are stable and citable in dossiers and assessment reports.</w:t>
      </w:r>
    </w:p>
    <w:p w14:paraId="32E39A12" w14:textId="77777777" w:rsidR="00CD5946" w:rsidRDefault="00000000">
      <w:pPr>
        <w:spacing w:before="40" w:after="80"/>
      </w:pPr>
      <w:r>
        <w:rPr>
          <w:b/>
          <w:color w:val="14756A"/>
        </w:rPr>
        <w:t xml:space="preserve">Bilingual text. </w:t>
      </w:r>
      <w:r>
        <w:t>English is the authoritative text; the Arabic is provided in parallel for accessibility across the region. Numeric values and units are isolated for correct right-to-left rendering.</w:t>
      </w:r>
    </w:p>
    <w:p w14:paraId="609A6FD7" w14:textId="77777777" w:rsidR="00CD5946" w:rsidRDefault="00000000">
      <w:pPr>
        <w:spacing w:before="40" w:after="80"/>
      </w:pPr>
      <w:r>
        <w:rPr>
          <w:b/>
          <w:color w:val="14756A"/>
        </w:rPr>
        <w:t xml:space="preserve">Hover for abbreviations. </w:t>
      </w:r>
      <w:r>
        <w:t>In Microsoft Word, hovering the cursor over an abbreviation (for example GMP, CCS, WFI, ALCOA+) displays its full meaning as a ScreenTip. The complete abbreviations list is given in Appendix C.</w:t>
      </w:r>
    </w:p>
    <w:p w14:paraId="1FC17A00" w14:textId="77777777" w:rsidR="00CD5946" w:rsidRDefault="00000000">
      <w:pPr>
        <w:spacing w:before="40" w:after="80"/>
      </w:pPr>
      <w:r>
        <w:rPr>
          <w:b/>
          <w:color w:val="14756A"/>
        </w:rPr>
        <w:t xml:space="preserve">Updating the Contents. </w:t>
      </w:r>
      <w:r>
        <w:t>The Table of Contents is a live field. To refresh page numbers, right-click the table and choose “Update Field” → “Update entire table”, or select all (Ctrl+A) and press F9.</w:t>
      </w:r>
    </w:p>
    <w:p w14:paraId="5C72253E" w14:textId="77777777" w:rsidR="00CD5946" w:rsidRDefault="00000000">
      <w:pPr>
        <w:bidi/>
        <w:spacing w:before="80"/>
      </w:pPr>
      <w:r>
        <w:rPr>
          <w:rFonts w:ascii="Arial" w:eastAsia="Arial" w:hAnsi="Arial"/>
          <w:color w:val="5A6B66"/>
          <w:sz w:val="20"/>
          <w:rtl/>
        </w:rPr>
        <w:t xml:space="preserve">التلميح للاختصارات: في وورد، عند وضع المؤشّر فوق الاختصار (مثل </w:t>
      </w:r>
      <w:r>
        <w:rPr>
          <w:rFonts w:ascii="Arial" w:eastAsia="Arial" w:hAnsi="Arial"/>
          <w:color w:val="5A6B66"/>
          <w:sz w:val="20"/>
        </w:rPr>
        <w:t>GMP</w:t>
      </w:r>
      <w:r>
        <w:rPr>
          <w:rFonts w:ascii="Arial" w:eastAsia="Arial" w:hAnsi="Arial"/>
          <w:color w:val="5A6B66"/>
          <w:sz w:val="20"/>
          <w:rtl/>
        </w:rPr>
        <w:t xml:space="preserve"> أو </w:t>
      </w:r>
      <w:r>
        <w:rPr>
          <w:rFonts w:ascii="Arial" w:eastAsia="Arial" w:hAnsi="Arial"/>
          <w:color w:val="5A6B66"/>
          <w:sz w:val="20"/>
        </w:rPr>
        <w:t>CCS</w:t>
      </w:r>
      <w:r>
        <w:rPr>
          <w:rFonts w:ascii="Arial" w:eastAsia="Arial" w:hAnsi="Arial"/>
          <w:color w:val="5A6B66"/>
          <w:sz w:val="20"/>
          <w:rtl/>
        </w:rPr>
        <w:t>) يظهر معناه الكامل. والنصّ الإنجليزي هو المرجع، والعربية مقدّمة بالتوازي، والملاحظات إرشادية لا إلزامية.</w:t>
      </w:r>
      <w:r>
        <w:br w:type="page"/>
      </w:r>
    </w:p>
    <w:p w14:paraId="220BB429" w14:textId="77777777" w:rsidR="00CD5946" w:rsidRDefault="00000000">
      <w:pPr>
        <w:pStyle w:val="Heading1"/>
        <w:spacing w:before="0"/>
      </w:pPr>
      <w:bookmarkStart w:id="5" w:name="__RefHeading___Toc9161_1729075678"/>
      <w:bookmarkEnd w:id="5"/>
      <w:r>
        <w:rPr>
          <w:rFonts w:ascii="Calibri" w:eastAsia="Calibri" w:hAnsi="Calibri"/>
          <w:color w:val="0E5A50"/>
        </w:rPr>
        <w:lastRenderedPageBreak/>
        <w:t xml:space="preserve">Foreword · </w:t>
      </w:r>
      <w:r>
        <w:rPr>
          <w:rFonts w:ascii="Calibri" w:eastAsia="Calibri" w:hAnsi="Calibri"/>
          <w:color w:val="0E5A50"/>
          <w:rtl/>
        </w:rPr>
        <w:t>تصدير</w:t>
      </w:r>
    </w:p>
    <w:p w14:paraId="360B4D4E" w14:textId="77777777" w:rsidR="00CD5946" w:rsidRDefault="00000000">
      <w:pPr>
        <w:spacing w:before="40"/>
        <w:jc w:val="both"/>
      </w:pPr>
      <w:r>
        <w:t>It is nearly two decades since the Arab GMP Guidelines were last issued (2nd Edition, 2007). Over that period the science and regulation of pharmaceutical manufacture have been transformed: quality has moved from end-product testing to a lifecycle, risk-based discipline; the pharmaceutical quality system, quality risk management and knowledge management have become the organising principles of GMP; data integrity has emerged as a defining expectation; and the manufacture of sterile products has been comprehensively re-based on a documented contamination control strategy. A guideline frozen in 2007 can neither protect patients to the current standard nor support the competitiveness of Arab manufacturers in regulated export markets.</w:t>
      </w:r>
    </w:p>
    <w:p w14:paraId="6AA17CF4" w14:textId="77777777" w:rsidR="00CD5946" w:rsidRDefault="00000000">
      <w:pPr>
        <w:spacing w:before="40"/>
        <w:jc w:val="both"/>
      </w:pPr>
      <w:r>
        <w:t>This revision arrives at a decisive regional moment. The Saudi Food and Drug Authority (SFDA) became the first Arab authority admitted to the Pharmaceutical Inspection Co-operation Scheme (PIC/S), and the Jordan Food and Drug Administration (JFDA) joined as a PIC/S Participating Authority on 1 January 2026; further Arab authorities are advancing through pre-accession. PIC/S membership rests on demonstrably equivalent GMP standards and inspectorates. The SFDA’s own GMP Guide (Version 4.4, document OPS-G-080) — a comprehensive, EU/PIC/S-aligned text structured as Chapters 1–9 with the full annex suite (including Annexes 2A and 2B) and already in force in the first Arab PIC/S member — provides a natural, proven regional anchor for this harmonisation. A modern, harmonised Arab GMP guideline — aligned with EU GMP, PIC/S, the SFDA GMP Guide, the US FDA, the WHO and ICH — is therefore both a patient-safety imperative and a strategic enabler of mutual reliance, reduced duplication of inspections, and access to regulated markets across the region and beyond.</w:t>
      </w:r>
    </w:p>
    <w:p w14:paraId="504391C1" w14:textId="77777777" w:rsidR="00CD5946" w:rsidRDefault="00000000">
      <w:pPr>
        <w:spacing w:before="40"/>
        <w:jc w:val="both"/>
      </w:pPr>
      <w:r>
        <w:t>The 2026 Edition is offered as a model guideline: a single, internally consistent, state-of-the-art text that each Arab national medicines regulatory authority can adopt, or adapt, into its own legal framework. It deliberately mirrors the architecture of the EU/PIC/S GMP Guide (Parts I–III plus Annexes) so that an Arab manufacturer or inspector reads the same structure used by the world’s leading inspectorates. It is written in citable clauses, framed by a Principle and a Scope and illuminated by informative notes, so that a manufacturer can design to it, an assessor can cite it, and a student can learn from it.</w:t>
      </w:r>
    </w:p>
    <w:p w14:paraId="4B3B6F48" w14:textId="77777777" w:rsidR="00CD5946" w:rsidRDefault="00000000">
      <w:pPr>
        <w:spacing w:before="40"/>
        <w:jc w:val="both"/>
      </w:pPr>
      <w:r>
        <w:t>This text is released for public consultation. I invite regulators, industry and academia across the Arab region and internationally to review it and submit comments, so that the final edition reflects the widest possible expert consensus. I am grateful to all who will contribute to its refinement, and I commend it as a step toward a harmonised, reliable and self-respecting Arab pharmaceutical quality system.</w:t>
      </w:r>
    </w:p>
    <w:p w14:paraId="4228F2A6" w14:textId="77777777" w:rsidR="00CD5946" w:rsidRDefault="00000000">
      <w:pPr>
        <w:spacing w:before="120" w:after="0"/>
      </w:pPr>
      <w:r>
        <w:rPr>
          <w:b/>
          <w:color w:val="0E5A50"/>
        </w:rPr>
        <w:t>Associate Prof. Dr. rer. nat. Osama Abd Elrahman</w:t>
      </w:r>
    </w:p>
    <w:p w14:paraId="37F1ADCF" w14:textId="77777777" w:rsidR="00CD5946" w:rsidRDefault="00000000">
      <w:pPr>
        <w:spacing w:after="160"/>
      </w:pPr>
      <w:r>
        <w:rPr>
          <w:i/>
          <w:color w:val="5A6B66"/>
          <w:sz w:val="20"/>
        </w:rPr>
        <w:t>Chairman, AUPAM Experts’ Office</w:t>
      </w:r>
    </w:p>
    <w:p w14:paraId="4DA5C06E" w14:textId="77777777" w:rsidR="00CD5946" w:rsidRDefault="00000000">
      <w:pPr>
        <w:pStyle w:val="Heading2"/>
        <w:bidi/>
        <w:spacing w:before="160" w:after="100"/>
      </w:pPr>
      <w:bookmarkStart w:id="6" w:name="__RefHeading___Toc9163_1729075678"/>
      <w:bookmarkEnd w:id="6"/>
      <w:r>
        <w:rPr>
          <w:color w:val="14756A"/>
          <w:sz w:val="25"/>
          <w:rtl/>
        </w:rPr>
        <w:t>تقديم</w:t>
      </w:r>
    </w:p>
    <w:p w14:paraId="6AD41AD1" w14:textId="77777777" w:rsidR="00CD5946" w:rsidRDefault="00000000">
      <w:pPr>
        <w:bidi/>
        <w:spacing w:before="40"/>
        <w:jc w:val="both"/>
      </w:pPr>
      <w:r>
        <w:rPr>
          <w:rFonts w:ascii="Arial" w:eastAsia="Arial" w:hAnsi="Arial"/>
          <w:rtl/>
        </w:rPr>
        <w:t>يسرّ مكتب الخبراء العرب أن يطرح للنقاش هذه المسوّدة لتحديث «الدليل العربي للممارسات التصنيعية الجيدة الحالية (</w:t>
      </w:r>
      <w:r>
        <w:rPr>
          <w:rFonts w:ascii="Arial" w:eastAsia="Arial" w:hAnsi="Arial"/>
        </w:rPr>
        <w:t>cGMP</w:t>
      </w:r>
      <w:r>
        <w:rPr>
          <w:rFonts w:ascii="Arial" w:eastAsia="Arial" w:hAnsi="Arial"/>
          <w:rtl/>
        </w:rPr>
        <w:t xml:space="preserve">) للمنتجات الدوائية» في إصداره لعام </w:t>
      </w:r>
      <w:r>
        <w:rPr>
          <w:rFonts w:ascii="Arial" w:eastAsia="Arial" w:hAnsi="Arial"/>
        </w:rPr>
        <w:t>2026</w:t>
      </w:r>
      <w:r>
        <w:rPr>
          <w:rFonts w:ascii="Arial" w:eastAsia="Arial" w:hAnsi="Arial"/>
          <w:rtl/>
        </w:rPr>
        <w:t xml:space="preserve">، بعد نحو عقدين على إصدار </w:t>
      </w:r>
      <w:r>
        <w:rPr>
          <w:rFonts w:ascii="Arial" w:eastAsia="Arial" w:hAnsi="Arial"/>
        </w:rPr>
        <w:t>2007</w:t>
      </w:r>
      <w:r>
        <w:rPr>
          <w:rFonts w:ascii="Arial" w:eastAsia="Arial" w:hAnsi="Arial"/>
          <w:rtl/>
        </w:rPr>
        <w:t>. شهدت هذه الحقبة تحوّلاً جذرياً في علم وتنظيم التصنيع الدوائي: فقد انتقلت الجودة من اختبار المنتج النهائي إلى منهج قائم على دورة الحياة والمخاطر؛ وصار نظام الجودة الصيدلاني وإدارة مخاطر الجودة وإدارة المعرفة المبادئ الناظمة للممارسات؛ وبرزت سلامة البيانات توقّعاً محورياً؛ وأُعيد تأسيس تصنيع المنتجات المعقّمة بالكامل على استراتيجية موثّقة لضبط التلوث.</w:t>
      </w:r>
    </w:p>
    <w:p w14:paraId="6615C27A" w14:textId="77777777" w:rsidR="00CD5946" w:rsidRDefault="00000000">
      <w:pPr>
        <w:bidi/>
        <w:spacing w:before="40"/>
        <w:jc w:val="both"/>
      </w:pPr>
      <w:r>
        <w:rPr>
          <w:rFonts w:ascii="Arial" w:eastAsia="Arial" w:hAnsi="Arial"/>
          <w:rtl/>
        </w:rPr>
        <w:t>ويأتي هذا التحديث في لحظة إقليمية فارقة: فقد أصبحت الهيئة العامة للغذاء والدواء السعودية (</w:t>
      </w:r>
      <w:r>
        <w:rPr>
          <w:rFonts w:ascii="Arial" w:eastAsia="Arial" w:hAnsi="Arial"/>
        </w:rPr>
        <w:t>SFDA</w:t>
      </w:r>
      <w:r>
        <w:rPr>
          <w:rFonts w:ascii="Arial" w:eastAsia="Arial" w:hAnsi="Arial"/>
          <w:rtl/>
        </w:rPr>
        <w:t>) أول عضو عربي في مخطّط التعاون الدولي للتفتيش الصيدلاني (</w:t>
      </w:r>
      <w:r>
        <w:rPr>
          <w:rFonts w:ascii="Arial" w:eastAsia="Arial" w:hAnsi="Arial"/>
        </w:rPr>
        <w:t>PIC/S</w:t>
      </w:r>
      <w:r>
        <w:rPr>
          <w:rFonts w:ascii="Arial" w:eastAsia="Arial" w:hAnsi="Arial"/>
          <w:rtl/>
        </w:rPr>
        <w:t>)، وانضمّت إليها المؤسسة العامة الأردنية للغذاء والدواء (</w:t>
      </w:r>
      <w:r>
        <w:rPr>
          <w:rFonts w:ascii="Arial" w:eastAsia="Arial" w:hAnsi="Arial"/>
        </w:rPr>
        <w:t>JFDA</w:t>
      </w:r>
      <w:r>
        <w:rPr>
          <w:rFonts w:ascii="Arial" w:eastAsia="Arial" w:hAnsi="Arial"/>
          <w:rtl/>
        </w:rPr>
        <w:t xml:space="preserve">) عضواً في الأول من يناير </w:t>
      </w:r>
      <w:r>
        <w:rPr>
          <w:rFonts w:ascii="Arial" w:eastAsia="Arial" w:hAnsi="Arial"/>
        </w:rPr>
        <w:t>2026</w:t>
      </w:r>
      <w:r>
        <w:rPr>
          <w:rFonts w:ascii="Arial" w:eastAsia="Arial" w:hAnsi="Arial"/>
          <w:rtl/>
        </w:rPr>
        <w:t>، فيما تتقدّم هيئات عربية أخرى نحو الانضمام. إنّ مواءمة الدليل العربي مع أحدث الإرشادات الدولية شرطٌ لتسهيل النفاذ إلى الأسواق المنظّمة، والاعتماد المتبادل، وتقليل ازدواجية التفتيش، وحماية المريض. وهذه وثيقة مسوّدة للمراجعة من قِبَل فريق العمل العربي وليست نصاً تنظيمياً نهائياً.</w:t>
      </w:r>
      <w:r>
        <w:br w:type="page"/>
      </w:r>
    </w:p>
    <w:p w14:paraId="6BD2BA94" w14:textId="77777777" w:rsidR="00CD5946" w:rsidRDefault="00000000">
      <w:pPr>
        <w:pStyle w:val="Heading1"/>
        <w:spacing w:before="0" w:after="80"/>
      </w:pPr>
      <w:bookmarkStart w:id="7" w:name="__RefHeading___Toc9165_1729075678"/>
      <w:bookmarkEnd w:id="7"/>
      <w:r>
        <w:rPr>
          <w:rFonts w:ascii="Calibri" w:eastAsia="Calibri" w:hAnsi="Calibri"/>
          <w:color w:val="0E5A50"/>
        </w:rPr>
        <w:lastRenderedPageBreak/>
        <w:t xml:space="preserve">Contents · </w:t>
      </w:r>
      <w:r>
        <w:rPr>
          <w:rFonts w:ascii="Calibri" w:eastAsia="Calibri" w:hAnsi="Calibri"/>
          <w:color w:val="0E5A50"/>
          <w:rtl/>
        </w:rPr>
        <w:t>المحتويات</w:t>
      </w:r>
    </w:p>
    <w:p w14:paraId="0E4CAE10" w14:textId="77777777" w:rsidR="00CD5946" w:rsidRDefault="00000000">
      <w:pPr>
        <w:spacing w:after="160"/>
      </w:pPr>
      <w:r>
        <w:rPr>
          <w:i/>
          <w:color w:val="5A6B66"/>
          <w:sz w:val="18"/>
        </w:rPr>
        <w:t>The list is generated automatically from the headings. In the Word edition it is a live field: after editing, refresh it with right-click → Update Field.</w:t>
      </w:r>
    </w:p>
    <w:sdt>
      <w:sdtPr>
        <w:id w:val="530225388"/>
        <w:docPartObj>
          <w:docPartGallery w:val="Table of Contents"/>
          <w:docPartUnique/>
        </w:docPartObj>
      </w:sdtPr>
      <w:sdtContent>
        <w:p w14:paraId="2EBE5DAD" w14:textId="77777777" w:rsidR="00CD5946" w:rsidRDefault="00CD5946">
          <w:pPr>
            <w:pStyle w:val="TOC1"/>
            <w:tabs>
              <w:tab w:val="clear" w:pos="9360"/>
              <w:tab w:val="right" w:leader="dot" w:pos="9359"/>
            </w:tabs>
          </w:pPr>
          <w:r>
            <w:fldChar w:fldCharType="begin"/>
          </w:r>
          <w:r>
            <w:rPr>
              <w:rStyle w:val="IndexLink"/>
              <w:webHidden/>
            </w:rPr>
            <w:instrText xml:space="preserve"> TOC \z \o "1-3" \u \h</w:instrText>
          </w:r>
          <w:r>
            <w:rPr>
              <w:rStyle w:val="IndexLink"/>
            </w:rPr>
            <w:fldChar w:fldCharType="separate"/>
          </w:r>
          <w:hyperlink w:anchor="__RefHeading___Toc9151_1729075678" w:tooltip="Document Control · ضبط الوثيقة">
            <w:r>
              <w:rPr>
                <w:rStyle w:val="IndexLink"/>
                <w:webHidden/>
              </w:rPr>
              <w:t xml:space="preserve">Document Control · </w:t>
            </w:r>
            <w:r>
              <w:rPr>
                <w:rStyle w:val="IndexLink"/>
                <w:rtl/>
              </w:rPr>
              <w:t>ضبط الوثيقة</w:t>
            </w:r>
            <w:r>
              <w:rPr>
                <w:rStyle w:val="IndexLink"/>
              </w:rPr>
              <w:tab/>
              <w:t>2</w:t>
            </w:r>
          </w:hyperlink>
        </w:p>
        <w:p w14:paraId="581C82B9" w14:textId="77777777" w:rsidR="00CD5946" w:rsidRDefault="00CD5946">
          <w:pPr>
            <w:pStyle w:val="TOC2"/>
            <w:tabs>
              <w:tab w:val="clear" w:pos="9077"/>
              <w:tab w:val="right" w:leader="dot" w:pos="9359"/>
            </w:tabs>
          </w:pPr>
          <w:hyperlink w:anchor="__RefHeading___Toc9153_1729075678" w:tooltip="Version History · سجل الإصدارات">
            <w:r>
              <w:rPr>
                <w:rStyle w:val="IndexLink"/>
                <w:webHidden/>
              </w:rPr>
              <w:t xml:space="preserve">Version History · </w:t>
            </w:r>
            <w:r>
              <w:rPr>
                <w:rStyle w:val="IndexLink"/>
                <w:rtl/>
              </w:rPr>
              <w:t>سجل الإصدارات</w:t>
            </w:r>
            <w:r>
              <w:rPr>
                <w:rStyle w:val="IndexLink"/>
              </w:rPr>
              <w:tab/>
              <w:t>2</w:t>
            </w:r>
          </w:hyperlink>
        </w:p>
        <w:p w14:paraId="58CFDAFB"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webHidden/>
              </w:rPr>
              <w:t xml:space="preserve">Endorsement, Approval &amp; Adoption · </w:t>
            </w:r>
            <w:r>
              <w:rPr>
                <w:rStyle w:val="IndexLink"/>
                <w:rtl/>
              </w:rPr>
              <w:t>الاعتماد والإقرار والتبنّي</w:t>
            </w:r>
            <w:r>
              <w:rPr>
                <w:rStyle w:val="IndexLink"/>
              </w:rPr>
              <w:tab/>
              <w:t>8</w:t>
            </w:r>
          </w:hyperlink>
        </w:p>
        <w:p w14:paraId="3910BEFA" w14:textId="77777777" w:rsidR="00CD5946" w:rsidRDefault="00CD5946">
          <w:pPr>
            <w:pStyle w:val="TOC2"/>
            <w:tabs>
              <w:tab w:val="clear" w:pos="9077"/>
              <w:tab w:val="right" w:leader="dot" w:pos="9359"/>
            </w:tabs>
          </w:pPr>
          <w:hyperlink w:anchor="__RefHeading___Toc9157_1729075678" w:tooltip="Controlled Document Notice · إشعار الوثيقة الخاضعة للضبط">
            <w:r>
              <w:rPr>
                <w:rStyle w:val="IndexLink"/>
                <w:webHidden/>
              </w:rPr>
              <w:t xml:space="preserve">Controlled Document Notice · </w:t>
            </w:r>
            <w:r>
              <w:rPr>
                <w:rStyle w:val="IndexLink"/>
                <w:rtl/>
              </w:rPr>
              <w:t>إشعار الوثيقة الخاضعة للضبط</w:t>
            </w:r>
            <w:r>
              <w:rPr>
                <w:rStyle w:val="IndexLink"/>
              </w:rPr>
              <w:tab/>
              <w:t>8</w:t>
            </w:r>
          </w:hyperlink>
        </w:p>
        <w:p w14:paraId="527B56F5"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webHidden/>
              </w:rPr>
              <w:t xml:space="preserve">How to Use This Guideline · </w:t>
            </w:r>
            <w:r>
              <w:rPr>
                <w:rStyle w:val="IndexLink"/>
                <w:rtl/>
              </w:rPr>
              <w:t>كيفية استخدام الدليل</w:t>
            </w:r>
            <w:r>
              <w:rPr>
                <w:rStyle w:val="IndexLink"/>
              </w:rPr>
              <w:tab/>
              <w:t>8</w:t>
            </w:r>
          </w:hyperlink>
        </w:p>
        <w:p w14:paraId="60C3E28C" w14:textId="77777777" w:rsidR="00CD5946" w:rsidRDefault="00CD5946">
          <w:pPr>
            <w:pStyle w:val="TOC1"/>
            <w:tabs>
              <w:tab w:val="clear" w:pos="9360"/>
              <w:tab w:val="right" w:leader="dot" w:pos="9359"/>
            </w:tabs>
          </w:pPr>
          <w:hyperlink w:anchor="__RefHeading___Toc9161_1729075678" w:tooltip="Foreword · تصدير">
            <w:r>
              <w:rPr>
                <w:rStyle w:val="IndexLink"/>
                <w:webHidden/>
              </w:rPr>
              <w:t xml:space="preserve">Foreword · </w:t>
            </w:r>
            <w:r>
              <w:rPr>
                <w:rStyle w:val="IndexLink"/>
                <w:rtl/>
              </w:rPr>
              <w:t>تصدير</w:t>
            </w:r>
            <w:r>
              <w:rPr>
                <w:rStyle w:val="IndexLink"/>
              </w:rPr>
              <w:tab/>
              <w:t>8</w:t>
            </w:r>
          </w:hyperlink>
        </w:p>
        <w:p w14:paraId="55D70420" w14:textId="77777777" w:rsidR="00CD5946" w:rsidRDefault="00CD5946">
          <w:pPr>
            <w:pStyle w:val="TOC2"/>
            <w:tabs>
              <w:tab w:val="clear" w:pos="9077"/>
              <w:tab w:val="right" w:leader="dot" w:pos="9359"/>
            </w:tabs>
          </w:pPr>
          <w:hyperlink w:anchor="__RefHeading___Toc9163_1729075678" w:tooltip="تقديم">
            <w:r>
              <w:rPr>
                <w:rStyle w:val="IndexLink"/>
                <w:webHidden/>
                <w:rtl/>
              </w:rPr>
              <w:t>تقديم</w:t>
            </w:r>
            <w:r>
              <w:rPr>
                <w:rStyle w:val="IndexLink"/>
              </w:rPr>
              <w:tab/>
              <w:t>8</w:t>
            </w:r>
          </w:hyperlink>
        </w:p>
        <w:p w14:paraId="34C635B7" w14:textId="77777777" w:rsidR="00CD5946" w:rsidRDefault="00CD5946">
          <w:pPr>
            <w:pStyle w:val="TOC1"/>
            <w:tabs>
              <w:tab w:val="clear" w:pos="9360"/>
              <w:tab w:val="right" w:leader="dot" w:pos="9359"/>
            </w:tabs>
          </w:pPr>
          <w:hyperlink w:anchor="__RefHeading___Toc9165_1729075678" w:tooltip="Contents · المحتويات">
            <w:r>
              <w:rPr>
                <w:rStyle w:val="IndexLink"/>
                <w:webHidden/>
              </w:rPr>
              <w:t xml:space="preserve">Contents · </w:t>
            </w:r>
            <w:r>
              <w:rPr>
                <w:rStyle w:val="IndexLink"/>
                <w:rtl/>
              </w:rPr>
              <w:t>المحتويات</w:t>
            </w:r>
            <w:r>
              <w:rPr>
                <w:rStyle w:val="IndexLink"/>
              </w:rPr>
              <w:tab/>
              <w:t>8</w:t>
            </w:r>
          </w:hyperlink>
        </w:p>
        <w:p w14:paraId="33076B26" w14:textId="77777777" w:rsidR="00CD5946" w:rsidRDefault="00CD5946">
          <w:pPr>
            <w:pStyle w:val="TOC1"/>
            <w:tabs>
              <w:tab w:val="clear" w:pos="9360"/>
              <w:tab w:val="right" w:leader="dot" w:pos="9359"/>
            </w:tabs>
          </w:pPr>
          <w:hyperlink w:anchor="__RefHeading___Toc9167_1729075678" w:tooltip="1. Introduction">
            <w:r>
              <w:rPr>
                <w:rStyle w:val="IndexLink"/>
                <w:webHidden/>
              </w:rPr>
              <w:t>1. Introduction</w:t>
              <w:tab/>
              <w:t>8</w:t>
            </w:r>
          </w:hyperlink>
        </w:p>
        <w:p w14:paraId="3EA65716" w14:textId="77777777" w:rsidR="00CD5946" w:rsidRDefault="00CD5946">
          <w:pPr>
            <w:pStyle w:val="TOC2"/>
            <w:tabs>
              <w:tab w:val="clear" w:pos="9077"/>
              <w:tab w:val="right" w:leader="dot" w:pos="9359"/>
            </w:tabs>
          </w:pPr>
          <w:hyperlink w:anchor="__RefHeading___Toc9169_1729075678" w:tooltip="1.1 Background and the need for revision">
            <w:r>
              <w:rPr>
                <w:rStyle w:val="IndexLink"/>
                <w:webHidden/>
              </w:rPr>
              <w:t>1.1 Background and the need for revision</w:t>
              <w:tab/>
              <w:t>8</w:t>
            </w:r>
          </w:hyperlink>
        </w:p>
        <w:p w14:paraId="0E67CF5F" w14:textId="77777777" w:rsidR="00CD5946" w:rsidRDefault="00CD5946">
          <w:pPr>
            <w:pStyle w:val="TOC2"/>
            <w:tabs>
              <w:tab w:val="clear" w:pos="9077"/>
              <w:tab w:val="right" w:leader="dot" w:pos="9359"/>
            </w:tabs>
          </w:pPr>
          <w:hyperlink w:anchor="__RefHeading___Toc9171_1729075678" w:tooltip="1.2 The regional moment — PIC/S accession in the Arab world">
            <w:r>
              <w:rPr>
                <w:rStyle w:val="IndexLink"/>
                <w:webHidden/>
              </w:rPr>
              <w:t>1.2 The regional moment — PIC/S accession in the Arab world</w:t>
              <w:tab/>
              <w:t>8</w:t>
            </w:r>
          </w:hyperlink>
        </w:p>
        <w:p w14:paraId="3F8B23F6" w14:textId="77777777" w:rsidR="00CD5946" w:rsidRDefault="00CD5946">
          <w:pPr>
            <w:pStyle w:val="TOC2"/>
            <w:tabs>
              <w:tab w:val="clear" w:pos="9077"/>
              <w:tab w:val="right" w:leader="dot" w:pos="9359"/>
            </w:tabs>
          </w:pPr>
          <w:hyperlink w:anchor="__RefHeading___Toc9173_1729075678" w:tooltip="1.3 Purpose and objectives">
            <w:r>
              <w:rPr>
                <w:rStyle w:val="IndexLink"/>
                <w:webHidden/>
              </w:rPr>
              <w:t>1.3 Purpose and objectives</w:t>
              <w:tab/>
              <w:t>8</w:t>
            </w:r>
          </w:hyperlink>
        </w:p>
        <w:p w14:paraId="57EF73E6" w14:textId="77777777" w:rsidR="00CD5946" w:rsidRDefault="00CD5946">
          <w:pPr>
            <w:pStyle w:val="TOC2"/>
            <w:tabs>
              <w:tab w:val="clear" w:pos="9077"/>
              <w:tab w:val="right" w:leader="dot" w:pos="9359"/>
            </w:tabs>
          </w:pPr>
          <w:hyperlink w:anchor="__RefHeading___Toc9175_1729075678" w:tooltip="1.4 Scope and applicability">
            <w:r>
              <w:rPr>
                <w:rStyle w:val="IndexLink"/>
                <w:webHidden/>
              </w:rPr>
              <w:t>1.4 Scope and applicability</w:t>
              <w:tab/>
              <w:t>8</w:t>
            </w:r>
          </w:hyperlink>
        </w:p>
        <w:p w14:paraId="183E2F1A" w14:textId="77777777" w:rsidR="00CD5946" w:rsidRDefault="00CD5946">
          <w:pPr>
            <w:pStyle w:val="TOC2"/>
            <w:tabs>
              <w:tab w:val="clear" w:pos="9077"/>
              <w:tab w:val="right" w:leader="dot" w:pos="9359"/>
            </w:tabs>
          </w:pPr>
          <w:hyperlink w:anchor="__RefHeading___Toc9177_1729075678" w:tooltip="1.5 Harmonisation philosophy">
            <w:r>
              <w:rPr>
                <w:rStyle w:val="IndexLink"/>
                <w:webHidden/>
              </w:rPr>
              <w:t>1.5 Harmonisation philosophy</w:t>
              <w:tab/>
              <w:t>8</w:t>
            </w:r>
          </w:hyperlink>
        </w:p>
        <w:p w14:paraId="24A1A52E" w14:textId="77777777" w:rsidR="00CD5946" w:rsidRDefault="00CD5946">
          <w:pPr>
            <w:pStyle w:val="TOC2"/>
            <w:tabs>
              <w:tab w:val="clear" w:pos="9077"/>
              <w:tab w:val="right" w:leader="dot" w:pos="9359"/>
            </w:tabs>
          </w:pPr>
          <w:hyperlink w:anchor="__RefHeading___Toc9179_1729075678" w:tooltip="1.6 Relationship to international standards">
            <w:r>
              <w:rPr>
                <w:rStyle w:val="IndexLink"/>
                <w:webHidden/>
              </w:rPr>
              <w:t>1.6 Relationship to international standards</w:t>
              <w:tab/>
              <w:t>8</w:t>
            </w:r>
          </w:hyperlink>
        </w:p>
        <w:p w14:paraId="684A9A0B" w14:textId="77777777" w:rsidR="00CD5946" w:rsidRDefault="00CD5946">
          <w:pPr>
            <w:pStyle w:val="TOC2"/>
            <w:tabs>
              <w:tab w:val="clear" w:pos="9077"/>
              <w:tab w:val="right" w:leader="dot" w:pos="9359"/>
            </w:tabs>
          </w:pPr>
          <w:hyperlink w:anchor="__RefHeading___Toc9181_1729075678" w:tooltip="1.7 Legal status and adoption model">
            <w:r>
              <w:rPr>
                <w:rStyle w:val="IndexLink"/>
                <w:webHidden/>
              </w:rPr>
              <w:t>1.7 Legal status and adoption model</w:t>
              <w:tab/>
              <w:t>8</w:t>
            </w:r>
          </w:hyperlink>
        </w:p>
        <w:p w14:paraId="11048B04" w14:textId="77777777" w:rsidR="00CD5946" w:rsidRDefault="00CD5946">
          <w:pPr>
            <w:pStyle w:val="TOC2"/>
            <w:tabs>
              <w:tab w:val="clear" w:pos="9077"/>
              <w:tab w:val="right" w:leader="dot" w:pos="9359"/>
            </w:tabs>
          </w:pPr>
          <w:hyperlink w:anchor="__RefHeading___Toc9183_1729075678" w:tooltip="1.8 How to use this document">
            <w:r>
              <w:rPr>
                <w:rStyle w:val="IndexLink"/>
                <w:webHidden/>
              </w:rPr>
              <w:t>1.8 How to use this document</w:t>
              <w:tab/>
              <w:t>8</w:t>
            </w:r>
          </w:hyperlink>
        </w:p>
        <w:p w14:paraId="7655C4F5" w14:textId="77777777" w:rsidR="00CD5946" w:rsidRDefault="00CD5946">
          <w:pPr>
            <w:pStyle w:val="TOC2"/>
            <w:tabs>
              <w:tab w:val="clear" w:pos="9077"/>
              <w:tab w:val="right" w:leader="dot" w:pos="9359"/>
            </w:tabs>
          </w:pPr>
          <w:hyperlink w:anchor="__RefHeading___Toc9185_1729075678" w:tooltip="1.9 Regulatory horizon — forthcoming revisions to monitor (2025–2027)">
            <w:r>
              <w:rPr>
                <w:rStyle w:val="IndexLink"/>
                <w:webHidden/>
              </w:rPr>
              <w:t>1.9 Regulatory horizon — forthcoming revisions to monitor (2025–2027)</w:t>
              <w:tab/>
              <w:t>8</w:t>
            </w:r>
          </w:hyperlink>
        </w:p>
        <w:p w14:paraId="5371E729"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webHidden/>
              </w:rPr>
              <w:t>2. Structure of the 2026 Edition (annotated)</w:t>
              <w:tab/>
              <w:t>8</w:t>
            </w:r>
          </w:hyperlink>
        </w:p>
        <w:p w14:paraId="53BDE8FC" w14:textId="77777777" w:rsidR="00CD5946" w:rsidRDefault="00CD5946">
          <w:pPr>
            <w:pStyle w:val="TOC2"/>
            <w:tabs>
              <w:tab w:val="clear" w:pos="9077"/>
              <w:tab w:val="right" w:leader="dot" w:pos="9359"/>
            </w:tabs>
          </w:pPr>
          <w:hyperlink w:anchor="__RefHeading___Toc9189_1729075678" w:tooltip="2.1 Part I — Basic requirements for medicinal products (Chapters 1–9)">
            <w:r>
              <w:rPr>
                <w:rStyle w:val="IndexLink"/>
                <w:webHidden/>
              </w:rPr>
              <w:t>2.1 Part I — Basic requirements for medicinal products (Chapters 1–9)</w:t>
              <w:tab/>
              <w:t>8</w:t>
            </w:r>
          </w:hyperlink>
        </w:p>
        <w:p w14:paraId="379FE443" w14:textId="77777777" w:rsidR="00CD5946" w:rsidRDefault="00CD5946">
          <w:pPr>
            <w:pStyle w:val="TOC3"/>
            <w:tabs>
              <w:tab w:val="clear" w:pos="8793"/>
              <w:tab w:val="right" w:leader="dot" w:pos="9359"/>
            </w:tabs>
          </w:pPr>
          <w:hyperlink w:anchor="__RefHeading___Toc9191_1729075678" w:tooltip="Chapter 1 — Pharmaceutical Quality System (PQS)">
            <w:r>
              <w:rPr>
                <w:rStyle w:val="IndexLink"/>
                <w:webHidden/>
              </w:rPr>
              <w:t>Chapter 1 — Pharmaceutical Quality System (PQS)</w:t>
              <w:tab/>
              <w:t>8</w:t>
            </w:r>
          </w:hyperlink>
        </w:p>
        <w:p w14:paraId="0C04BA94" w14:textId="77777777" w:rsidR="00CD5946" w:rsidRDefault="00CD5946">
          <w:pPr>
            <w:pStyle w:val="TOC3"/>
            <w:tabs>
              <w:tab w:val="clear" w:pos="8793"/>
              <w:tab w:val="right" w:leader="dot" w:pos="9359"/>
            </w:tabs>
          </w:pPr>
          <w:hyperlink w:anchor="__RefHeading___Toc9193_1729075678" w:tooltip="Chapter 2 — Personnel">
            <w:r>
              <w:rPr>
                <w:rStyle w:val="IndexLink"/>
                <w:webHidden/>
              </w:rPr>
              <w:t>Chapter 2 — Personnel</w:t>
              <w:tab/>
              <w:t>8</w:t>
            </w:r>
          </w:hyperlink>
        </w:p>
        <w:p w14:paraId="2C768A3F" w14:textId="77777777" w:rsidR="00CD5946" w:rsidRDefault="00CD5946">
          <w:pPr>
            <w:pStyle w:val="TOC3"/>
            <w:tabs>
              <w:tab w:val="clear" w:pos="8793"/>
              <w:tab w:val="right" w:leader="dot" w:pos="9359"/>
            </w:tabs>
          </w:pPr>
          <w:hyperlink w:anchor="__RefHeading___Toc9195_1729075678" w:tooltip="Chapter 3 — Premises and Equipment">
            <w:r>
              <w:rPr>
                <w:rStyle w:val="IndexLink"/>
                <w:webHidden/>
              </w:rPr>
              <w:t>Chapter 3 — Premises and Equipment</w:t>
              <w:tab/>
              <w:t>8</w:t>
            </w:r>
          </w:hyperlink>
        </w:p>
        <w:p w14:paraId="5AA25B7E" w14:textId="77777777" w:rsidR="00CD5946" w:rsidRDefault="00CD5946">
          <w:pPr>
            <w:pStyle w:val="TOC3"/>
            <w:tabs>
              <w:tab w:val="clear" w:pos="8793"/>
              <w:tab w:val="right" w:leader="dot" w:pos="9359"/>
            </w:tabs>
          </w:pPr>
          <w:hyperlink w:anchor="__RefHeading___Toc9197_1729075678" w:tooltip="Chapter 4 — Documentation (incl. data integrity)">
            <w:r>
              <w:rPr>
                <w:rStyle w:val="IndexLink"/>
                <w:webHidden/>
              </w:rPr>
              <w:t>Chapter 4 — Documentation (incl. data integrity)</w:t>
              <w:tab/>
              <w:t>9</w:t>
            </w:r>
          </w:hyperlink>
        </w:p>
        <w:p w14:paraId="219CCAFD" w14:textId="77777777" w:rsidR="00CD5946" w:rsidRDefault="00CD5946">
          <w:pPr>
            <w:pStyle w:val="TOC3"/>
            <w:tabs>
              <w:tab w:val="clear" w:pos="8793"/>
              <w:tab w:val="right" w:leader="dot" w:pos="9359"/>
            </w:tabs>
          </w:pPr>
          <w:hyperlink w:anchor="__RefHeading___Toc9199_1729075678" w:tooltip="Chapter 5 — Production">
            <w:r>
              <w:rPr>
                <w:rStyle w:val="IndexLink"/>
                <w:webHidden/>
              </w:rPr>
              <w:t>Chapter 5 — Production</w:t>
              <w:tab/>
              <w:t>9</w:t>
            </w:r>
          </w:hyperlink>
        </w:p>
        <w:p w14:paraId="17241A10" w14:textId="77777777" w:rsidR="00CD5946" w:rsidRDefault="00CD5946">
          <w:pPr>
            <w:pStyle w:val="TOC3"/>
            <w:tabs>
              <w:tab w:val="clear" w:pos="8793"/>
              <w:tab w:val="right" w:leader="dot" w:pos="9359"/>
            </w:tabs>
          </w:pPr>
          <w:hyperlink w:anchor="__RefHeading___Toc9201_1729075678" w:tooltip="Chapter 6 — Quality Control">
            <w:r>
              <w:rPr>
                <w:rStyle w:val="IndexLink"/>
                <w:webHidden/>
              </w:rPr>
              <w:t>Chapter 6 — Quality Control</w:t>
              <w:tab/>
              <w:t>9</w:t>
            </w:r>
          </w:hyperlink>
        </w:p>
        <w:p w14:paraId="5F089C98" w14:textId="77777777" w:rsidR="00CD5946" w:rsidRDefault="00CD5946">
          <w:pPr>
            <w:pStyle w:val="TOC3"/>
            <w:tabs>
              <w:tab w:val="clear" w:pos="8793"/>
              <w:tab w:val="right" w:leader="dot" w:pos="9359"/>
            </w:tabs>
          </w:pPr>
          <w:hyperlink w:anchor="__RefHeading___Toc9203_1729075678" w:tooltip="Chapter 7 — Outsourced Activities">
            <w:r>
              <w:rPr>
                <w:rStyle w:val="IndexLink"/>
                <w:webHidden/>
              </w:rPr>
              <w:t>Chapter 7 — Outsourced Activities</w:t>
              <w:tab/>
              <w:t>9</w:t>
            </w:r>
          </w:hyperlink>
        </w:p>
        <w:p w14:paraId="686C69AE" w14:textId="77777777" w:rsidR="00CD5946" w:rsidRDefault="00CD5946">
          <w:pPr>
            <w:pStyle w:val="TOC3"/>
            <w:tabs>
              <w:tab w:val="clear" w:pos="8793"/>
              <w:tab w:val="right" w:leader="dot" w:pos="9359"/>
            </w:tabs>
          </w:pPr>
          <w:hyperlink w:anchor="__RefHeading___Toc9205_1729075678" w:tooltip="Chapter 8 — Complaints and Product Recall (quality defects)">
            <w:r>
              <w:rPr>
                <w:rStyle w:val="IndexLink"/>
                <w:webHidden/>
              </w:rPr>
              <w:t>Chapter 8 — Complaints and Product Recall (quality defects)</w:t>
              <w:tab/>
              <w:t>9</w:t>
            </w:r>
          </w:hyperlink>
        </w:p>
        <w:p w14:paraId="221F18B9" w14:textId="77777777" w:rsidR="00CD5946" w:rsidRDefault="00CD5946">
          <w:pPr>
            <w:pStyle w:val="TOC3"/>
            <w:tabs>
              <w:tab w:val="clear" w:pos="8793"/>
              <w:tab w:val="right" w:leader="dot" w:pos="9359"/>
            </w:tabs>
          </w:pPr>
          <w:hyperlink w:anchor="__RefHeading___Toc9207_1729075678" w:tooltip="Chapter 9 — Self-Inspection">
            <w:r>
              <w:rPr>
                <w:rStyle w:val="IndexLink"/>
                <w:webHidden/>
              </w:rPr>
              <w:t>Chapter 9 — Self-Inspection</w:t>
              <w:tab/>
              <w:t>9</w:t>
            </w:r>
          </w:hyperlink>
        </w:p>
        <w:p w14:paraId="1E0422E3" w14:textId="77777777" w:rsidR="00CD5946" w:rsidRDefault="00CD5946">
          <w:pPr>
            <w:pStyle w:val="TOC2"/>
            <w:tabs>
              <w:tab w:val="clear" w:pos="9077"/>
              <w:tab w:val="right" w:leader="dot" w:pos="9359"/>
            </w:tabs>
          </w:pPr>
          <w:hyperlink w:anchor="__RefHeading___Toc9209_1729075678" w:tooltip="2.2 Part II — Basic requirements for active substances used as starting materials (APIs)">
            <w:r>
              <w:rPr>
                <w:rStyle w:val="IndexLink"/>
                <w:webHidden/>
              </w:rPr>
              <w:t>2.2 Part II — Basic requirements for active substances used as starting materials (APIs)</w:t>
              <w:tab/>
              <w:t>9</w:t>
            </w:r>
          </w:hyperlink>
        </w:p>
        <w:p w14:paraId="1FBB225A" w14:textId="77777777" w:rsidR="00CD5946" w:rsidRDefault="00CD5946">
          <w:pPr>
            <w:pStyle w:val="TOC3"/>
            <w:tabs>
              <w:tab w:val="clear" w:pos="8793"/>
              <w:tab w:val="right" w:leader="dot" w:pos="9359"/>
            </w:tabs>
          </w:pPr>
          <w:hyperlink w:anchor="__RefHeading___Toc9211_1729075678" w:tooltip="Part II — Good Manufacturing Practice for Active Pharmaceutical Ingredients">
            <w:r>
              <w:rPr>
                <w:rStyle w:val="IndexLink"/>
                <w:webHidden/>
              </w:rPr>
              <w:t>Part II — Good Manufacturing Practice for Active Pharmaceutical Ingredients</w:t>
              <w:tab/>
              <w:t>9</w:t>
            </w:r>
          </w:hyperlink>
        </w:p>
        <w:p w14:paraId="69219FE6" w14:textId="77777777" w:rsidR="00CD5946" w:rsidRDefault="00CD5946">
          <w:pPr>
            <w:pStyle w:val="TOC2"/>
            <w:tabs>
              <w:tab w:val="clear" w:pos="9077"/>
              <w:tab w:val="right" w:leader="dot" w:pos="9359"/>
            </w:tabs>
          </w:pPr>
          <w:hyperlink w:anchor="__RefHeading___Toc9213_1729075678" w:tooltip="2.3 Part III — GMP-related documents">
            <w:r>
              <w:rPr>
                <w:rStyle w:val="IndexLink"/>
                <w:webHidden/>
              </w:rPr>
              <w:t>2.3 Part III — GMP-related documents</w:t>
              <w:tab/>
              <w:t>9</w:t>
            </w:r>
          </w:hyperlink>
        </w:p>
        <w:p w14:paraId="4A002627" w14:textId="77777777" w:rsidR="00CD5946" w:rsidRDefault="00CD5946">
          <w:pPr>
            <w:pStyle w:val="TOC3"/>
            <w:tabs>
              <w:tab w:val="clear" w:pos="8793"/>
              <w:tab w:val="right" w:leader="dot" w:pos="9359"/>
            </w:tabs>
          </w:pPr>
          <w:hyperlink w:anchor="__RefHeading___Toc9215_1729075678" w:tooltip="Site Master File (SMF)">
            <w:r>
              <w:rPr>
                <w:rStyle w:val="IndexLink"/>
                <w:webHidden/>
              </w:rPr>
              <w:t>Site Master File (SMF)</w:t>
              <w:tab/>
              <w:t>9</w:t>
            </w:r>
          </w:hyperlink>
        </w:p>
        <w:p w14:paraId="02C479B8" w14:textId="77777777" w:rsidR="00CD5946" w:rsidRDefault="00CD5946">
          <w:pPr>
            <w:pStyle w:val="TOC3"/>
            <w:tabs>
              <w:tab w:val="clear" w:pos="8793"/>
              <w:tab w:val="right" w:leader="dot" w:pos="9359"/>
            </w:tabs>
          </w:pPr>
          <w:hyperlink w:anchor="__RefHeading___Toc9217_1729075678" w:tooltip="ICH Q9(R1) — Quality Risk Management">
            <w:r>
              <w:rPr>
                <w:rStyle w:val="IndexLink"/>
                <w:webHidden/>
              </w:rPr>
              <w:t>ICH Q9(R1) — Quality Risk Management</w:t>
              <w:tab/>
              <w:t>9</w:t>
            </w:r>
          </w:hyperlink>
        </w:p>
        <w:p w14:paraId="467E2943" w14:textId="77777777" w:rsidR="00CD5946" w:rsidRDefault="00CD5946">
          <w:pPr>
            <w:pStyle w:val="TOC3"/>
            <w:tabs>
              <w:tab w:val="clear" w:pos="8793"/>
              <w:tab w:val="right" w:leader="dot" w:pos="9359"/>
            </w:tabs>
          </w:pPr>
          <w:hyperlink w:anchor="__RefHeading___Toc9219_1729075678" w:tooltip="ICH Q10 — Pharmaceutical Quality System">
            <w:r>
              <w:rPr>
                <w:rStyle w:val="IndexLink"/>
                <w:webHidden/>
              </w:rPr>
              <w:t>ICH Q10 — Pharmaceutical Quality System</w:t>
              <w:tab/>
              <w:t>9</w:t>
            </w:r>
          </w:hyperlink>
        </w:p>
        <w:p w14:paraId="7101C9A1" w14:textId="77777777" w:rsidR="00CD5946" w:rsidRDefault="00CD5946">
          <w:pPr>
            <w:pStyle w:val="TOC3"/>
            <w:tabs>
              <w:tab w:val="clear" w:pos="8793"/>
              <w:tab w:val="right" w:leader="dot" w:pos="9359"/>
            </w:tabs>
          </w:pPr>
          <w:hyperlink w:anchor="__RefHeading___Toc9221_1729075678" w:tooltip="Batch certificate &amp; site transfer templates">
            <w:r>
              <w:rPr>
                <w:rStyle w:val="IndexLink"/>
                <w:webHidden/>
              </w:rPr>
              <w:t>Batch certificate &amp; site transfer templates</w:t>
              <w:tab/>
              <w:t>26</w:t>
            </w:r>
          </w:hyperlink>
        </w:p>
        <w:p w14:paraId="6CA1119B" w14:textId="77777777" w:rsidR="00CD5946" w:rsidRDefault="00CD5946">
          <w:pPr>
            <w:pStyle w:val="TOC2"/>
            <w:tabs>
              <w:tab w:val="clear" w:pos="9077"/>
              <w:tab w:val="right" w:leader="dot" w:pos="9359"/>
            </w:tabs>
          </w:pPr>
          <w:hyperlink w:anchor="__RefHeading___Toc9223_1729075678" w:tooltip="2.4 Annexes">
            <w:r>
              <w:rPr>
                <w:rStyle w:val="IndexLink"/>
                <w:webHidden/>
              </w:rPr>
              <w:t>2.4 Annexes</w:t>
              <w:tab/>
              <w:t>26</w:t>
            </w:r>
          </w:hyperlink>
        </w:p>
        <w:p w14:paraId="7A2D6BB4" w14:textId="77777777" w:rsidR="00CD5946" w:rsidRDefault="00CD5946">
          <w:pPr>
            <w:pStyle w:val="TOC2"/>
            <w:tabs>
              <w:tab w:val="clear" w:pos="9077"/>
              <w:tab w:val="right" w:leader="dot" w:pos="9359"/>
            </w:tabs>
          </w:pPr>
          <w:hyperlink w:anchor="__RefHeading___Toc9225_1729075678" w:tooltip="2.5 Appendices">
            <w:r>
              <w:rPr>
                <w:rStyle w:val="IndexLink"/>
                <w:webHidden/>
              </w:rPr>
              <w:t>2.5 Appendices</w:t>
              <w:tab/>
              <w:t>27</w:t>
            </w:r>
          </w:hyperlink>
        </w:p>
        <w:p w14:paraId="3B89D718" w14:textId="77777777" w:rsidR="00CD5946" w:rsidRDefault="00CD5946">
          <w:pPr>
            <w:pStyle w:val="TOC1"/>
            <w:tabs>
              <w:tab w:val="clear" w:pos="9360"/>
              <w:tab w:val="right" w:leader="dot" w:pos="9359"/>
            </w:tabs>
          </w:pPr>
          <w:hyperlink w:anchor="__RefHeading___Toc9227_1729075678" w:tooltip="3. Harmonisation mapping">
            <w:r>
              <w:rPr>
                <w:rStyle w:val="IndexLink"/>
                <w:webHidden/>
              </w:rPr>
              <w:t>3. Harmonisation mapping</w:t>
              <w:tab/>
              <w:t>28</w:t>
            </w:r>
          </w:hyperlink>
        </w:p>
        <w:p w14:paraId="320D938E"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webHidden/>
              </w:rPr>
              <w:t>4. Crosswalk — 2007 edition → 2026 edition</w:t>
              <w:tab/>
              <w:t>29</w:t>
            </w:r>
          </w:hyperlink>
        </w:p>
        <w:p w14:paraId="4DE26E46" w14:textId="77777777" w:rsidR="00CD5946" w:rsidRDefault="00CD5946">
          <w:pPr>
            <w:pStyle w:val="TOC1"/>
            <w:tabs>
              <w:tab w:val="clear" w:pos="9360"/>
              <w:tab w:val="right" w:leader="dot" w:pos="9359"/>
            </w:tabs>
          </w:pPr>
          <w:hyperlink w:anchor="__RefHeading___Toc9231_1729075678" w:tooltip="5. Key modernisations since 2007">
            <w:r>
              <w:rPr>
                <w:rStyle w:val="IndexLink"/>
                <w:webHidden/>
              </w:rPr>
              <w:t>5. Key modernisations since 2007</w:t>
              <w:tab/>
              <w:t>30</w:t>
            </w:r>
          </w:hyperlink>
        </w:p>
        <w:p w14:paraId="02AD5C69" w14:textId="77777777" w:rsidR="00CD5946" w:rsidRDefault="00CD5946">
          <w:pPr>
            <w:pStyle w:val="TOC1"/>
            <w:tabs>
              <w:tab w:val="clear" w:pos="9360"/>
              <w:tab w:val="right" w:leader="dot" w:pos="9359"/>
            </w:tabs>
          </w:pPr>
          <w:hyperlink w:anchor="__RefHeading___Toc9233_1729075678" w:tooltip="6. Normative references">
            <w:r>
              <w:rPr>
                <w:rStyle w:val="IndexLink"/>
                <w:webHidden/>
              </w:rPr>
              <w:t>6. Normative references</w:t>
              <w:tab/>
              <w:t>31</w:t>
            </w:r>
          </w:hyperlink>
        </w:p>
        <w:p w14:paraId="4FBEC79D" w14:textId="77777777" w:rsidR="00CD5946" w:rsidRDefault="00CD5946">
          <w:pPr>
            <w:pStyle w:val="TOC1"/>
            <w:tabs>
              <w:tab w:val="clear" w:pos="9360"/>
              <w:tab w:val="right" w:leader="dot" w:pos="9359"/>
            </w:tabs>
          </w:pPr>
          <w:hyperlink w:anchor="__RefHeading___Toc9235_1729075678" w:tooltip="7. Definitions">
            <w:r>
              <w:rPr>
                <w:rStyle w:val="IndexLink"/>
                <w:webHidden/>
              </w:rPr>
              <w:t>7. Definitions</w:t>
              <w:tab/>
              <w:t>33</w:t>
            </w:r>
          </w:hyperlink>
        </w:p>
        <w:p w14:paraId="64FCB6F7" w14:textId="77777777" w:rsidR="00CD5946" w:rsidRDefault="00CD5946">
          <w:pPr>
            <w:pStyle w:val="TOC1"/>
            <w:tabs>
              <w:tab w:val="clear" w:pos="9360"/>
              <w:tab w:val="right" w:leader="dot" w:pos="9359"/>
            </w:tabs>
          </w:pPr>
          <w:hyperlink w:anchor="__RefHeading___Toc9243_1729075678" w:tooltip="Contents">
            <w:r>
              <w:rPr>
                <w:rStyle w:val="IndexLink"/>
                <w:webHidden/>
              </w:rPr>
              <w:t>Contents</w:t>
            </w:r>
            <w:r>
              <w:rPr>
                <w:rStyle w:val="IndexLink"/>
              </w:rPr>
              <w:tab/>
              <w:t>34</w:t>
            </w:r>
          </w:hyperlink>
        </w:p>
        <w:p w14:paraId="4E0405E9" w14:textId="77777777" w:rsidR="00CD5946" w:rsidRDefault="00CD5946">
          <w:pPr>
            <w:pStyle w:val="TOC1"/>
            <w:tabs>
              <w:tab w:val="clear" w:pos="9360"/>
              <w:tab w:val="right" w:leader="dot" w:pos="9359"/>
            </w:tabs>
          </w:pPr>
          <w:hyperlink w:anchor="__RefHeading___Toc9245_1729075678" w:tooltip="Scope and application of Part I">
            <w:r>
              <w:rPr>
                <w:rStyle w:val="IndexLink"/>
                <w:webHidden/>
              </w:rPr>
              <w:t>Scope and application of Part I</w:t>
            </w:r>
            <w:r>
              <w:rPr>
                <w:rStyle w:val="IndexLink"/>
              </w:rPr>
              <w:tab/>
              <w:t>34</w:t>
            </w:r>
          </w:hyperlink>
        </w:p>
        <w:p w14:paraId="0B638FDE"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webHidden/>
              </w:rPr>
              <w:t>Chapter 1 — Pharmaceutical Quality System</w:t>
            </w:r>
            <w:r>
              <w:rPr>
                <w:rStyle w:val="IndexLink"/>
              </w:rPr>
              <w:tab/>
              <w:t>34</w:t>
            </w:r>
          </w:hyperlink>
        </w:p>
        <w:p w14:paraId="0592F16C" w14:textId="77777777" w:rsidR="00CD5946" w:rsidRDefault="00CD5946">
          <w:pPr>
            <w:pStyle w:val="TOC2"/>
            <w:tabs>
              <w:tab w:val="clear" w:pos="9077"/>
              <w:tab w:val="right" w:leader="dot" w:pos="9359"/>
            </w:tabs>
          </w:pPr>
          <w:hyperlink w:anchor="__RefHeading___Toc9249_1729075678" w:tooltip="1.1 Pharmaceutical Quality System">
            <w:r>
              <w:rPr>
                <w:rStyle w:val="IndexLink"/>
                <w:webHidden/>
              </w:rPr>
              <w:t>1.1 Pharmaceutical Quality System</w:t>
            </w:r>
            <w:r>
              <w:rPr>
                <w:rStyle w:val="IndexLink"/>
              </w:rPr>
              <w:tab/>
              <w:t>38</w:t>
            </w:r>
          </w:hyperlink>
        </w:p>
        <w:p w14:paraId="7144716E" w14:textId="77777777" w:rsidR="00CD5946" w:rsidRDefault="00CD5946">
          <w:pPr>
            <w:pStyle w:val="TOC2"/>
            <w:tabs>
              <w:tab w:val="clear" w:pos="9077"/>
              <w:tab w:val="right" w:leader="dot" w:pos="9359"/>
            </w:tabs>
          </w:pPr>
          <w:hyperlink w:anchor="__RefHeading___Toc9251_1729075678" w:tooltip="1.2 Good Manufacturing Practice for Medicinal Products">
            <w:r>
              <w:rPr>
                <w:rStyle w:val="IndexLink"/>
                <w:webHidden/>
              </w:rPr>
              <w:t>1.2 Good Manufacturing Practice for Medicinal Products</w:t>
            </w:r>
            <w:r>
              <w:rPr>
                <w:rStyle w:val="IndexLink"/>
              </w:rPr>
              <w:tab/>
              <w:t>39</w:t>
            </w:r>
          </w:hyperlink>
        </w:p>
        <w:p w14:paraId="69C087D0" w14:textId="77777777" w:rsidR="00CD5946" w:rsidRDefault="00CD5946">
          <w:pPr>
            <w:pStyle w:val="TOC2"/>
            <w:tabs>
              <w:tab w:val="clear" w:pos="9077"/>
              <w:tab w:val="right" w:leader="dot" w:pos="9359"/>
            </w:tabs>
          </w:pPr>
          <w:hyperlink w:anchor="__RefHeading___Toc9253_1729075678" w:tooltip="1.3 Quality Control">
            <w:r>
              <w:rPr>
                <w:rStyle w:val="IndexLink"/>
                <w:webHidden/>
              </w:rPr>
              <w:t>1.3 Quality Control</w:t>
            </w:r>
            <w:r>
              <w:rPr>
                <w:rStyle w:val="IndexLink"/>
              </w:rPr>
              <w:tab/>
              <w:t>39</w:t>
            </w:r>
          </w:hyperlink>
        </w:p>
        <w:p w14:paraId="1A272456" w14:textId="77777777" w:rsidR="00CD5946" w:rsidRDefault="00CD5946">
          <w:pPr>
            <w:pStyle w:val="TOC2"/>
            <w:tabs>
              <w:tab w:val="clear" w:pos="9077"/>
              <w:tab w:val="right" w:leader="dot" w:pos="9359"/>
            </w:tabs>
          </w:pPr>
          <w:hyperlink w:anchor="__RefHeading___Toc9255_1729075678" w:tooltip="1.4 Product Quality Review">
            <w:r>
              <w:rPr>
                <w:rStyle w:val="IndexLink"/>
                <w:webHidden/>
              </w:rPr>
              <w:t>1.4 Product Quality Review</w:t>
            </w:r>
            <w:r>
              <w:rPr>
                <w:rStyle w:val="IndexLink"/>
              </w:rPr>
              <w:tab/>
              <w:t>40</w:t>
            </w:r>
          </w:hyperlink>
        </w:p>
        <w:p w14:paraId="6AA9AEB0" w14:textId="77777777" w:rsidR="00CD5946" w:rsidRDefault="00CD5946">
          <w:pPr>
            <w:pStyle w:val="TOC2"/>
            <w:tabs>
              <w:tab w:val="clear" w:pos="9077"/>
              <w:tab w:val="right" w:leader="dot" w:pos="9359"/>
            </w:tabs>
          </w:pPr>
          <w:hyperlink w:anchor="__RefHeading___Toc9257_1729075678" w:tooltip="1.5 Quality Risk Management">
            <w:r>
              <w:rPr>
                <w:rStyle w:val="IndexLink"/>
                <w:webHidden/>
              </w:rPr>
              <w:t>1.5 Quality Risk Management</w:t>
            </w:r>
            <w:r>
              <w:rPr>
                <w:rStyle w:val="IndexLink"/>
              </w:rPr>
              <w:tab/>
              <w:t>40</w:t>
            </w:r>
          </w:hyperlink>
        </w:p>
        <w:p w14:paraId="0A9F7FAA" w14:textId="77777777" w:rsidR="00CD5946" w:rsidRDefault="00CD5946">
          <w:pPr>
            <w:pStyle w:val="TOC1"/>
            <w:tabs>
              <w:tab w:val="clear" w:pos="9360"/>
              <w:tab w:val="right" w:leader="dot" w:pos="9359"/>
            </w:tabs>
          </w:pPr>
          <w:hyperlink w:anchor="__RefHeading___Toc9259_1729075678" w:tooltip="Chapter 2 — Personnel">
            <w:r>
              <w:rPr>
                <w:rStyle w:val="IndexLink"/>
                <w:webHidden/>
              </w:rPr>
              <w:t>Chapter 2 — Personnel</w:t>
            </w:r>
            <w:r>
              <w:rPr>
                <w:rStyle w:val="IndexLink"/>
              </w:rPr>
              <w:tab/>
              <w:t>42</w:t>
            </w:r>
          </w:hyperlink>
        </w:p>
        <w:p w14:paraId="23F15B8D" w14:textId="77777777" w:rsidR="00CD5946" w:rsidRDefault="00CD5946">
          <w:pPr>
            <w:pStyle w:val="TOC2"/>
            <w:tabs>
              <w:tab w:val="clear" w:pos="9077"/>
              <w:tab w:val="right" w:leader="dot" w:pos="9359"/>
            </w:tabs>
          </w:pPr>
          <w:hyperlink w:anchor="__RefHeading___Toc9261_1729075678" w:tooltip="2.1 General">
            <w:r>
              <w:rPr>
                <w:rStyle w:val="IndexLink"/>
                <w:webHidden/>
              </w:rPr>
              <w:t>2.1 General</w:t>
            </w:r>
            <w:r>
              <w:rPr>
                <w:rStyle w:val="IndexLink"/>
              </w:rPr>
              <w:tab/>
              <w:t>42</w:t>
            </w:r>
          </w:hyperlink>
        </w:p>
        <w:p w14:paraId="7D51EBF0" w14:textId="77777777" w:rsidR="00CD5946" w:rsidRDefault="00CD5946">
          <w:pPr>
            <w:pStyle w:val="TOC2"/>
            <w:tabs>
              <w:tab w:val="clear" w:pos="9077"/>
              <w:tab w:val="right" w:leader="dot" w:pos="9359"/>
            </w:tabs>
          </w:pPr>
          <w:hyperlink w:anchor="__RefHeading___Toc9263_1729075678" w:tooltip="2.2 Key personnel">
            <w:r>
              <w:rPr>
                <w:rStyle w:val="IndexLink"/>
                <w:webHidden/>
              </w:rPr>
              <w:t>2.2 Key personnel</w:t>
            </w:r>
            <w:r>
              <w:rPr>
                <w:rStyle w:val="IndexLink"/>
              </w:rPr>
              <w:tab/>
              <w:t>42</w:t>
            </w:r>
          </w:hyperlink>
        </w:p>
        <w:p w14:paraId="4AD54D79" w14:textId="77777777" w:rsidR="00CD5946" w:rsidRDefault="00CD5946">
          <w:pPr>
            <w:pStyle w:val="TOC2"/>
            <w:tabs>
              <w:tab w:val="clear" w:pos="9077"/>
              <w:tab w:val="right" w:leader="dot" w:pos="9359"/>
            </w:tabs>
          </w:pPr>
          <w:hyperlink w:anchor="__RefHeading___Toc9265_1729075678" w:tooltip="2.3 Training">
            <w:r>
              <w:rPr>
                <w:rStyle w:val="IndexLink"/>
                <w:webHidden/>
              </w:rPr>
              <w:t>2.3 Training</w:t>
            </w:r>
            <w:r>
              <w:rPr>
                <w:rStyle w:val="IndexLink"/>
              </w:rPr>
              <w:tab/>
              <w:t>43</w:t>
            </w:r>
          </w:hyperlink>
        </w:p>
        <w:p w14:paraId="7409FB63" w14:textId="77777777" w:rsidR="00CD5946" w:rsidRDefault="00CD5946">
          <w:pPr>
            <w:pStyle w:val="TOC2"/>
            <w:tabs>
              <w:tab w:val="clear" w:pos="9077"/>
              <w:tab w:val="right" w:leader="dot" w:pos="9359"/>
            </w:tabs>
          </w:pPr>
          <w:hyperlink w:anchor="__RefHeading___Toc9267_1729075678" w:tooltip="2.4 Personnel hygiene">
            <w:r>
              <w:rPr>
                <w:rStyle w:val="IndexLink"/>
                <w:webHidden/>
              </w:rPr>
              <w:t>2.4 Personnel hygiene</w:t>
            </w:r>
            <w:r>
              <w:rPr>
                <w:rStyle w:val="IndexLink"/>
              </w:rPr>
              <w:tab/>
              <w:t>43</w:t>
            </w:r>
          </w:hyperlink>
        </w:p>
        <w:p w14:paraId="3DFDFC67" w14:textId="77777777" w:rsidR="00CD5946" w:rsidRDefault="00CD5946">
          <w:pPr>
            <w:pStyle w:val="TOC2"/>
            <w:tabs>
              <w:tab w:val="clear" w:pos="9077"/>
              <w:tab w:val="right" w:leader="dot" w:pos="9359"/>
            </w:tabs>
          </w:pPr>
          <w:hyperlink w:anchor="__RefHeading___Toc9269_1729075678" w:tooltip="2.5 Consultants">
            <w:r>
              <w:rPr>
                <w:rStyle w:val="IndexLink"/>
                <w:webHidden/>
              </w:rPr>
              <w:t>2.5 Consultants</w:t>
            </w:r>
            <w:r>
              <w:rPr>
                <w:rStyle w:val="IndexLink"/>
              </w:rPr>
              <w:tab/>
              <w:t>44</w:t>
            </w:r>
          </w:hyperlink>
        </w:p>
        <w:p w14:paraId="53C8C393" w14:textId="77777777" w:rsidR="00CD5946" w:rsidRDefault="00CD5946">
          <w:pPr>
            <w:pStyle w:val="TOC1"/>
            <w:tabs>
              <w:tab w:val="clear" w:pos="9360"/>
              <w:tab w:val="right" w:leader="dot" w:pos="9359"/>
            </w:tabs>
          </w:pPr>
          <w:hyperlink w:anchor="__RefHeading___Toc9271_1729075678" w:tooltip="Chapter 3 — Premises and Equipment">
            <w:r>
              <w:rPr>
                <w:rStyle w:val="IndexLink"/>
                <w:webHidden/>
              </w:rPr>
              <w:t>Chapter 3 — Premises and Equipment</w:t>
            </w:r>
            <w:r>
              <w:rPr>
                <w:rStyle w:val="IndexLink"/>
              </w:rPr>
              <w:tab/>
              <w:t>45</w:t>
            </w:r>
          </w:hyperlink>
        </w:p>
        <w:p w14:paraId="5803B52B" w14:textId="77777777" w:rsidR="00CD5946" w:rsidRDefault="00CD5946">
          <w:pPr>
            <w:pStyle w:val="TOC2"/>
            <w:tabs>
              <w:tab w:val="clear" w:pos="9077"/>
              <w:tab w:val="right" w:leader="dot" w:pos="9359"/>
            </w:tabs>
          </w:pPr>
          <w:hyperlink w:anchor="__RefHeading___Toc9273_1729075678" w:tooltip="3.1 Premises — general">
            <w:r>
              <w:rPr>
                <w:rStyle w:val="IndexLink"/>
                <w:webHidden/>
              </w:rPr>
              <w:t>3.1 Premises — general</w:t>
            </w:r>
            <w:r>
              <w:rPr>
                <w:rStyle w:val="IndexLink"/>
              </w:rPr>
              <w:tab/>
              <w:t>45</w:t>
            </w:r>
          </w:hyperlink>
        </w:p>
        <w:p w14:paraId="214A1980" w14:textId="77777777" w:rsidR="00CD5946" w:rsidRDefault="00CD5946">
          <w:pPr>
            <w:pStyle w:val="TOC2"/>
            <w:tabs>
              <w:tab w:val="clear" w:pos="9077"/>
              <w:tab w:val="right" w:leader="dot" w:pos="9359"/>
            </w:tabs>
          </w:pPr>
          <w:hyperlink w:anchor="__RefHeading___Toc9275_1729075678" w:tooltip="3.2 Production area">
            <w:r>
              <w:rPr>
                <w:rStyle w:val="IndexLink"/>
                <w:webHidden/>
              </w:rPr>
              <w:t>3.2 Production area</w:t>
            </w:r>
            <w:r>
              <w:rPr>
                <w:rStyle w:val="IndexLink"/>
              </w:rPr>
              <w:tab/>
              <w:t>45</w:t>
            </w:r>
          </w:hyperlink>
        </w:p>
        <w:p w14:paraId="32C1060A" w14:textId="77777777" w:rsidR="00CD5946" w:rsidRDefault="00CD5946">
          <w:pPr>
            <w:pStyle w:val="TOC2"/>
            <w:tabs>
              <w:tab w:val="clear" w:pos="9077"/>
              <w:tab w:val="right" w:leader="dot" w:pos="9359"/>
            </w:tabs>
          </w:pPr>
          <w:hyperlink w:anchor="__RefHeading___Toc9277_1729075678" w:tooltip="3.3 Storage areas">
            <w:r>
              <w:rPr>
                <w:rStyle w:val="IndexLink"/>
                <w:webHidden/>
              </w:rPr>
              <w:t>3.3 Storage areas</w:t>
            </w:r>
            <w:r>
              <w:rPr>
                <w:rStyle w:val="IndexLink"/>
              </w:rPr>
              <w:tab/>
              <w:t>45</w:t>
            </w:r>
          </w:hyperlink>
        </w:p>
        <w:p w14:paraId="32116C80" w14:textId="77777777" w:rsidR="00CD5946" w:rsidRDefault="00CD5946">
          <w:pPr>
            <w:pStyle w:val="TOC2"/>
            <w:tabs>
              <w:tab w:val="clear" w:pos="9077"/>
              <w:tab w:val="right" w:leader="dot" w:pos="9359"/>
            </w:tabs>
          </w:pPr>
          <w:hyperlink w:anchor="__RefHeading___Toc9279_1729075678" w:tooltip="3.4 Quality-control areas">
            <w:r>
              <w:rPr>
                <w:rStyle w:val="IndexLink"/>
                <w:webHidden/>
              </w:rPr>
              <w:t>3.4 Quality-control areas</w:t>
            </w:r>
            <w:r>
              <w:rPr>
                <w:rStyle w:val="IndexLink"/>
              </w:rPr>
              <w:tab/>
              <w:t>46</w:t>
            </w:r>
          </w:hyperlink>
        </w:p>
        <w:p w14:paraId="617C2D2F" w14:textId="77777777" w:rsidR="00CD5946" w:rsidRDefault="00CD5946">
          <w:pPr>
            <w:pStyle w:val="TOC2"/>
            <w:tabs>
              <w:tab w:val="clear" w:pos="9077"/>
              <w:tab w:val="right" w:leader="dot" w:pos="9359"/>
            </w:tabs>
          </w:pPr>
          <w:hyperlink w:anchor="__RefHeading___Toc9281_1729075678" w:tooltip="3.5 Ancillary areas">
            <w:r>
              <w:rPr>
                <w:rStyle w:val="IndexLink"/>
                <w:webHidden/>
              </w:rPr>
              <w:t>3.5 Ancillary areas</w:t>
            </w:r>
            <w:r>
              <w:rPr>
                <w:rStyle w:val="IndexLink"/>
              </w:rPr>
              <w:tab/>
              <w:t>46</w:t>
            </w:r>
          </w:hyperlink>
        </w:p>
        <w:p w14:paraId="73DE573C" w14:textId="77777777" w:rsidR="00CD5946" w:rsidRDefault="00CD5946">
          <w:pPr>
            <w:pStyle w:val="TOC2"/>
            <w:tabs>
              <w:tab w:val="clear" w:pos="9077"/>
              <w:tab w:val="right" w:leader="dot" w:pos="9359"/>
            </w:tabs>
          </w:pPr>
          <w:hyperlink w:anchor="__RefHeading___Toc9283_1729075678" w:tooltip="3.6 Equipment">
            <w:r>
              <w:rPr>
                <w:rStyle w:val="IndexLink"/>
                <w:webHidden/>
              </w:rPr>
              <w:t>3.6 Equipment</w:t>
            </w:r>
            <w:r>
              <w:rPr>
                <w:rStyle w:val="IndexLink"/>
              </w:rPr>
              <w:tab/>
              <w:t>46</w:t>
            </w:r>
          </w:hyperlink>
        </w:p>
        <w:p w14:paraId="33C59FF8" w14:textId="77777777" w:rsidR="00CD5946" w:rsidRDefault="00CD5946">
          <w:pPr>
            <w:pStyle w:val="TOC1"/>
            <w:tabs>
              <w:tab w:val="clear" w:pos="9360"/>
              <w:tab w:val="right" w:leader="dot" w:pos="9359"/>
            </w:tabs>
          </w:pPr>
          <w:hyperlink w:anchor="__RefHeading___Toc9285_1729075678" w:tooltip="Chapter 4 — Documentation">
            <w:r>
              <w:rPr>
                <w:rStyle w:val="IndexLink"/>
                <w:webHidden/>
              </w:rPr>
              <w:t>Chapter 4 — Documentation</w:t>
            </w:r>
            <w:r>
              <w:rPr>
                <w:rStyle w:val="IndexLink"/>
              </w:rPr>
              <w:tab/>
              <w:t>48</w:t>
            </w:r>
          </w:hyperlink>
        </w:p>
        <w:p w14:paraId="3F96BAA5" w14:textId="77777777" w:rsidR="00CD5946" w:rsidRDefault="00CD5946">
          <w:pPr>
            <w:pStyle w:val="TOC2"/>
            <w:tabs>
              <w:tab w:val="clear" w:pos="9077"/>
              <w:tab w:val="right" w:leader="dot" w:pos="9359"/>
            </w:tabs>
          </w:pPr>
          <w:hyperlink w:anchor="__RefHeading___Toc9287_1729075678" w:tooltip="4.1 Required GMP documentation">
            <w:r>
              <w:rPr>
                <w:rStyle w:val="IndexLink"/>
                <w:webHidden/>
              </w:rPr>
              <w:t>4.1 Required GMP documentation</w:t>
            </w:r>
            <w:r>
              <w:rPr>
                <w:rStyle w:val="IndexLink"/>
              </w:rPr>
              <w:tab/>
              <w:t>48</w:t>
            </w:r>
          </w:hyperlink>
        </w:p>
        <w:p w14:paraId="148325B5" w14:textId="77777777" w:rsidR="00CD5946" w:rsidRDefault="00CD5946">
          <w:pPr>
            <w:pStyle w:val="TOC2"/>
            <w:tabs>
              <w:tab w:val="clear" w:pos="9077"/>
              <w:tab w:val="right" w:leader="dot" w:pos="9359"/>
            </w:tabs>
          </w:pPr>
          <w:hyperlink w:anchor="__RefHeading___Toc9289_1729075678" w:tooltip="4.2 Generation and control of documentation">
            <w:r>
              <w:rPr>
                <w:rStyle w:val="IndexLink"/>
                <w:webHidden/>
              </w:rPr>
              <w:t>4.2 Generation and control of documentation</w:t>
            </w:r>
            <w:r>
              <w:rPr>
                <w:rStyle w:val="IndexLink"/>
              </w:rPr>
              <w:tab/>
              <w:t>48</w:t>
            </w:r>
          </w:hyperlink>
        </w:p>
        <w:p w14:paraId="064A5B76" w14:textId="77777777" w:rsidR="00CD5946" w:rsidRDefault="00CD5946">
          <w:pPr>
            <w:pStyle w:val="TOC2"/>
            <w:tabs>
              <w:tab w:val="clear" w:pos="9077"/>
              <w:tab w:val="right" w:leader="dot" w:pos="9359"/>
            </w:tabs>
          </w:pPr>
          <w:hyperlink w:anchor="__RefHeading___Toc9291_1729075678" w:tooltip="4.3 Good documentation practices (data integrity)">
            <w:r>
              <w:rPr>
                <w:rStyle w:val="IndexLink"/>
                <w:webHidden/>
              </w:rPr>
              <w:t>4.3 Good documentation practices (data integrity)</w:t>
            </w:r>
            <w:r>
              <w:rPr>
                <w:rStyle w:val="IndexLink"/>
              </w:rPr>
              <w:tab/>
              <w:t>48</w:t>
            </w:r>
          </w:hyperlink>
        </w:p>
        <w:p w14:paraId="6DA37503" w14:textId="77777777" w:rsidR="00CD5946" w:rsidRDefault="00CD5946">
          <w:pPr>
            <w:pStyle w:val="TOC2"/>
            <w:tabs>
              <w:tab w:val="clear" w:pos="9077"/>
              <w:tab w:val="right" w:leader="dot" w:pos="9359"/>
            </w:tabs>
          </w:pPr>
          <w:hyperlink w:anchor="__RefHeading___Toc9293_1729075678" w:tooltip="4.4 Retention of documents">
            <w:r>
              <w:rPr>
                <w:rStyle w:val="IndexLink"/>
                <w:webHidden/>
              </w:rPr>
              <w:t>4.4 Retention of documents</w:t>
            </w:r>
            <w:r>
              <w:rPr>
                <w:rStyle w:val="IndexLink"/>
              </w:rPr>
              <w:tab/>
              <w:t>49</w:t>
            </w:r>
          </w:hyperlink>
        </w:p>
        <w:p w14:paraId="32CCE84E" w14:textId="77777777" w:rsidR="00CD5946" w:rsidRDefault="00CD5946">
          <w:pPr>
            <w:pStyle w:val="TOC2"/>
            <w:tabs>
              <w:tab w:val="clear" w:pos="9077"/>
              <w:tab w:val="right" w:leader="dot" w:pos="9359"/>
            </w:tabs>
          </w:pPr>
          <w:hyperlink w:anchor="__RefHeading___Toc9295_1729075678" w:tooltip="4.5 Specifications, formulae, instructions and records">
            <w:r>
              <w:rPr>
                <w:rStyle w:val="IndexLink"/>
                <w:webHidden/>
              </w:rPr>
              <w:t>4.5 Specifications, formulae, instructions and records</w:t>
            </w:r>
            <w:r>
              <w:rPr>
                <w:rStyle w:val="IndexLink"/>
              </w:rPr>
              <w:tab/>
              <w:t>49</w:t>
            </w:r>
          </w:hyperlink>
        </w:p>
        <w:p w14:paraId="79F8C7AF" w14:textId="77777777" w:rsidR="00CD5946" w:rsidRDefault="00CD5946">
          <w:pPr>
            <w:pStyle w:val="TOC1"/>
            <w:tabs>
              <w:tab w:val="clear" w:pos="9360"/>
              <w:tab w:val="right" w:leader="dot" w:pos="9359"/>
            </w:tabs>
          </w:pPr>
          <w:hyperlink w:anchor="__RefHeading___Toc9297_1729075678" w:tooltip="Chapter 5 — Production">
            <w:r>
              <w:rPr>
                <w:rStyle w:val="IndexLink"/>
                <w:webHidden/>
              </w:rPr>
              <w:t>Chapter 5 — Production</w:t>
            </w:r>
            <w:r>
              <w:rPr>
                <w:rStyle w:val="IndexLink"/>
              </w:rPr>
              <w:tab/>
              <w:t>51</w:t>
            </w:r>
          </w:hyperlink>
        </w:p>
        <w:p w14:paraId="58116C20" w14:textId="77777777" w:rsidR="00CD5946" w:rsidRDefault="00CD5946">
          <w:pPr>
            <w:pStyle w:val="TOC2"/>
            <w:tabs>
              <w:tab w:val="clear" w:pos="9077"/>
              <w:tab w:val="right" w:leader="dot" w:pos="9359"/>
            </w:tabs>
          </w:pPr>
          <w:hyperlink w:anchor="__RefHeading___Toc9299_1729075678" w:tooltip="5.1 General">
            <w:r>
              <w:rPr>
                <w:rStyle w:val="IndexLink"/>
                <w:webHidden/>
              </w:rPr>
              <w:t>5.1 General</w:t>
            </w:r>
            <w:r>
              <w:rPr>
                <w:rStyle w:val="IndexLink"/>
              </w:rPr>
              <w:tab/>
              <w:t>51</w:t>
            </w:r>
          </w:hyperlink>
        </w:p>
        <w:p w14:paraId="2F6DE2AA" w14:textId="77777777" w:rsidR="00CD5946" w:rsidRDefault="00CD5946">
          <w:pPr>
            <w:pStyle w:val="TOC2"/>
            <w:tabs>
              <w:tab w:val="clear" w:pos="9077"/>
              <w:tab w:val="right" w:leader="dot" w:pos="9359"/>
            </w:tabs>
          </w:pPr>
          <w:hyperlink w:anchor="__RefHeading___Toc9301_1729075678" w:tooltip="5.2 Prevention of cross-contamination in production">
            <w:r>
              <w:rPr>
                <w:rStyle w:val="IndexLink"/>
                <w:webHidden/>
              </w:rPr>
              <w:t>5.2 Prevention of cross-contamination in production</w:t>
            </w:r>
            <w:r>
              <w:rPr>
                <w:rStyle w:val="IndexLink"/>
              </w:rPr>
              <w:tab/>
              <w:t>51</w:t>
            </w:r>
          </w:hyperlink>
        </w:p>
        <w:p w14:paraId="259D61D6" w14:textId="77777777" w:rsidR="00CD5946" w:rsidRDefault="00CD5946">
          <w:pPr>
            <w:pStyle w:val="TOC2"/>
            <w:tabs>
              <w:tab w:val="clear" w:pos="9077"/>
              <w:tab w:val="right" w:leader="dot" w:pos="9359"/>
            </w:tabs>
          </w:pPr>
          <w:hyperlink w:anchor="__RefHeading___Toc9303_1729075678" w:tooltip="5.3 Validation">
            <w:r>
              <w:rPr>
                <w:rStyle w:val="IndexLink"/>
                <w:webHidden/>
              </w:rPr>
              <w:t>5.3 Validation</w:t>
            </w:r>
            <w:r>
              <w:rPr>
                <w:rStyle w:val="IndexLink"/>
              </w:rPr>
              <w:tab/>
              <w:t>52</w:t>
            </w:r>
          </w:hyperlink>
        </w:p>
        <w:p w14:paraId="21BF0C8F" w14:textId="77777777" w:rsidR="00CD5946" w:rsidRDefault="00CD5946">
          <w:pPr>
            <w:pStyle w:val="TOC2"/>
            <w:tabs>
              <w:tab w:val="clear" w:pos="9077"/>
              <w:tab w:val="right" w:leader="dot" w:pos="9359"/>
            </w:tabs>
          </w:pPr>
          <w:hyperlink w:anchor="__RefHeading___Toc9305_1729075678" w:tooltip="5.4 Starting materials">
            <w:r>
              <w:rPr>
                <w:rStyle w:val="IndexLink"/>
                <w:webHidden/>
              </w:rPr>
              <w:t>5.4 Starting materials</w:t>
            </w:r>
            <w:r>
              <w:rPr>
                <w:rStyle w:val="IndexLink"/>
              </w:rPr>
              <w:tab/>
              <w:t>52</w:t>
            </w:r>
          </w:hyperlink>
        </w:p>
        <w:p w14:paraId="39519E2B" w14:textId="77777777" w:rsidR="00CD5946" w:rsidRDefault="00CD5946">
          <w:pPr>
            <w:pStyle w:val="TOC2"/>
            <w:tabs>
              <w:tab w:val="clear" w:pos="9077"/>
              <w:tab w:val="right" w:leader="dot" w:pos="9359"/>
            </w:tabs>
          </w:pPr>
          <w:hyperlink w:anchor="__RefHeading___Toc9307_1729075678" w:tooltip="5.5 Processing operations — intermediate and bulk products">
            <w:r>
              <w:rPr>
                <w:rStyle w:val="IndexLink"/>
                <w:webHidden/>
              </w:rPr>
              <w:t>5.5 Processing operations — intermediate and bulk products</w:t>
            </w:r>
            <w:r>
              <w:rPr>
                <w:rStyle w:val="IndexLink"/>
              </w:rPr>
              <w:tab/>
              <w:t>53</w:t>
            </w:r>
          </w:hyperlink>
        </w:p>
        <w:p w14:paraId="0B2DB7C2" w14:textId="77777777" w:rsidR="00CD5946" w:rsidRDefault="00CD5946">
          <w:pPr>
            <w:pStyle w:val="TOC2"/>
            <w:tabs>
              <w:tab w:val="clear" w:pos="9077"/>
              <w:tab w:val="right" w:leader="dot" w:pos="9359"/>
            </w:tabs>
          </w:pPr>
          <w:hyperlink w:anchor="__RefHeading___Toc9309_1729075678" w:tooltip="5.6 Packaging materials and operations">
            <w:r>
              <w:rPr>
                <w:rStyle w:val="IndexLink"/>
                <w:webHidden/>
              </w:rPr>
              <w:t>5.6 Packaging materials and operations</w:t>
            </w:r>
            <w:r>
              <w:rPr>
                <w:rStyle w:val="IndexLink"/>
              </w:rPr>
              <w:tab/>
              <w:t>53</w:t>
            </w:r>
          </w:hyperlink>
        </w:p>
        <w:p w14:paraId="73EF42AC" w14:textId="77777777" w:rsidR="00CD5946" w:rsidRDefault="00CD5946">
          <w:pPr>
            <w:pStyle w:val="TOC2"/>
            <w:tabs>
              <w:tab w:val="clear" w:pos="9077"/>
              <w:tab w:val="right" w:leader="dot" w:pos="9359"/>
            </w:tabs>
          </w:pPr>
          <w:hyperlink w:anchor="__RefHeading___Toc9311_1729075678" w:tooltip="5.7 Finished products, rejected, recovered and returned materials">
            <w:r>
              <w:rPr>
                <w:rStyle w:val="IndexLink"/>
                <w:webHidden/>
              </w:rPr>
              <w:t>5.7 Finished products, rejected, recovered and returned materials</w:t>
            </w:r>
            <w:r>
              <w:rPr>
                <w:rStyle w:val="IndexLink"/>
              </w:rPr>
              <w:tab/>
              <w:t>53</w:t>
            </w:r>
          </w:hyperlink>
        </w:p>
        <w:p w14:paraId="3CDDBF57" w14:textId="77777777" w:rsidR="00CD5946" w:rsidRDefault="00CD5946">
          <w:pPr>
            <w:pStyle w:val="TOC1"/>
            <w:tabs>
              <w:tab w:val="clear" w:pos="9360"/>
              <w:tab w:val="right" w:leader="dot" w:pos="9359"/>
            </w:tabs>
          </w:pPr>
          <w:hyperlink w:anchor="__RefHeading___Toc9313_1729075678" w:tooltip="Chapter 6 — Quality Control">
            <w:r>
              <w:rPr>
                <w:rStyle w:val="IndexLink"/>
                <w:webHidden/>
              </w:rPr>
              <w:t>Chapter 6 — Quality Control</w:t>
            </w:r>
            <w:r>
              <w:rPr>
                <w:rStyle w:val="IndexLink"/>
              </w:rPr>
              <w:tab/>
              <w:t>55</w:t>
            </w:r>
          </w:hyperlink>
        </w:p>
        <w:p w14:paraId="22023404" w14:textId="77777777" w:rsidR="00CD5946" w:rsidRDefault="00CD5946">
          <w:pPr>
            <w:pStyle w:val="TOC2"/>
            <w:tabs>
              <w:tab w:val="clear" w:pos="9077"/>
              <w:tab w:val="right" w:leader="dot" w:pos="9359"/>
            </w:tabs>
          </w:pPr>
          <w:hyperlink w:anchor="__RefHeading___Toc9315_1729075678" w:tooltip="6.1 General">
            <w:r>
              <w:rPr>
                <w:rStyle w:val="IndexLink"/>
                <w:webHidden/>
              </w:rPr>
              <w:t>6.1 General</w:t>
            </w:r>
            <w:r>
              <w:rPr>
                <w:rStyle w:val="IndexLink"/>
              </w:rPr>
              <w:tab/>
              <w:t>55</w:t>
            </w:r>
          </w:hyperlink>
        </w:p>
        <w:p w14:paraId="499234E6" w14:textId="77777777" w:rsidR="00CD5946" w:rsidRDefault="00CD5946">
          <w:pPr>
            <w:pStyle w:val="TOC2"/>
            <w:tabs>
              <w:tab w:val="clear" w:pos="9077"/>
              <w:tab w:val="right" w:leader="dot" w:pos="9359"/>
            </w:tabs>
          </w:pPr>
          <w:hyperlink w:anchor="__RefHeading___Toc9317_1729075678" w:tooltip="6.2 Documentation and sampling">
            <w:r>
              <w:rPr>
                <w:rStyle w:val="IndexLink"/>
                <w:webHidden/>
              </w:rPr>
              <w:t>6.2 Documentation and sampling</w:t>
            </w:r>
            <w:r>
              <w:rPr>
                <w:rStyle w:val="IndexLink"/>
              </w:rPr>
              <w:tab/>
              <w:t>55</w:t>
            </w:r>
          </w:hyperlink>
        </w:p>
        <w:p w14:paraId="09044548" w14:textId="77777777" w:rsidR="00CD5946" w:rsidRDefault="00CD5946">
          <w:pPr>
            <w:pStyle w:val="TOC2"/>
            <w:tabs>
              <w:tab w:val="clear" w:pos="9077"/>
              <w:tab w:val="right" w:leader="dot" w:pos="9359"/>
            </w:tabs>
          </w:pPr>
          <w:hyperlink w:anchor="__RefHeading___Toc9319_1729075678" w:tooltip="6.3 Testing">
            <w:r>
              <w:rPr>
                <w:rStyle w:val="IndexLink"/>
                <w:webHidden/>
              </w:rPr>
              <w:t>6.3 Testing</w:t>
            </w:r>
            <w:r>
              <w:rPr>
                <w:rStyle w:val="IndexLink"/>
              </w:rPr>
              <w:tab/>
              <w:t>55</w:t>
            </w:r>
          </w:hyperlink>
        </w:p>
        <w:p w14:paraId="03E299F3" w14:textId="77777777" w:rsidR="00CD5946" w:rsidRDefault="00CD5946">
          <w:pPr>
            <w:pStyle w:val="TOC2"/>
            <w:tabs>
              <w:tab w:val="clear" w:pos="9077"/>
              <w:tab w:val="right" w:leader="dot" w:pos="9359"/>
            </w:tabs>
          </w:pPr>
          <w:hyperlink w:anchor="__RefHeading___Toc9321_1729075678" w:tooltip="6.4 Ongoing stability programme">
            <w:r>
              <w:rPr>
                <w:rStyle w:val="IndexLink"/>
                <w:webHidden/>
              </w:rPr>
              <w:t>6.4 Ongoing stability programme</w:t>
            </w:r>
            <w:r>
              <w:rPr>
                <w:rStyle w:val="IndexLink"/>
              </w:rPr>
              <w:tab/>
              <w:t>55</w:t>
            </w:r>
          </w:hyperlink>
        </w:p>
        <w:p w14:paraId="2738BAFF" w14:textId="77777777" w:rsidR="00CD5946" w:rsidRDefault="00CD5946">
          <w:pPr>
            <w:pStyle w:val="TOC2"/>
            <w:tabs>
              <w:tab w:val="clear" w:pos="9077"/>
              <w:tab w:val="right" w:leader="dot" w:pos="9359"/>
            </w:tabs>
          </w:pPr>
          <w:hyperlink w:anchor="__RefHeading___Toc9323_1729075678" w:tooltip="6.5 Technical transfer of testing methods">
            <w:r>
              <w:rPr>
                <w:rStyle w:val="IndexLink"/>
                <w:webHidden/>
              </w:rPr>
              <w:t>6.5 Technical transfer of testing methods</w:t>
            </w:r>
            <w:r>
              <w:rPr>
                <w:rStyle w:val="IndexLink"/>
              </w:rPr>
              <w:tab/>
              <w:t>56</w:t>
            </w:r>
          </w:hyperlink>
        </w:p>
        <w:p w14:paraId="466A998F" w14:textId="77777777" w:rsidR="00CD5946" w:rsidRDefault="00CD5946">
          <w:pPr>
            <w:pStyle w:val="TOC1"/>
            <w:tabs>
              <w:tab w:val="clear" w:pos="9360"/>
              <w:tab w:val="right" w:leader="dot" w:pos="9359"/>
            </w:tabs>
          </w:pPr>
          <w:hyperlink w:anchor="__RefHeading___Toc9325_1729075678" w:tooltip="Chapter 7 — Outsourced Activities">
            <w:r>
              <w:rPr>
                <w:rStyle w:val="IndexLink"/>
                <w:webHidden/>
              </w:rPr>
              <w:t>Chapter 7 — Outsourced Activities</w:t>
            </w:r>
            <w:r>
              <w:rPr>
                <w:rStyle w:val="IndexLink"/>
              </w:rPr>
              <w:tab/>
              <w:t>57</w:t>
            </w:r>
          </w:hyperlink>
        </w:p>
        <w:p w14:paraId="0291E363" w14:textId="77777777" w:rsidR="00CD5946" w:rsidRDefault="00CD5946">
          <w:pPr>
            <w:pStyle w:val="TOC2"/>
            <w:tabs>
              <w:tab w:val="clear" w:pos="9077"/>
              <w:tab w:val="right" w:leader="dot" w:pos="9359"/>
            </w:tabs>
          </w:pPr>
          <w:hyperlink w:anchor="__RefHeading___Toc9327_1729075678" w:tooltip="7.1 General">
            <w:r>
              <w:rPr>
                <w:rStyle w:val="IndexLink"/>
                <w:webHidden/>
              </w:rPr>
              <w:t>7.1 General</w:t>
            </w:r>
            <w:r>
              <w:rPr>
                <w:rStyle w:val="IndexLink"/>
              </w:rPr>
              <w:tab/>
              <w:t>57</w:t>
            </w:r>
          </w:hyperlink>
        </w:p>
        <w:p w14:paraId="31CCF7AD" w14:textId="77777777" w:rsidR="00CD5946" w:rsidRDefault="00CD5946">
          <w:pPr>
            <w:pStyle w:val="TOC2"/>
            <w:tabs>
              <w:tab w:val="clear" w:pos="9077"/>
              <w:tab w:val="right" w:leader="dot" w:pos="9359"/>
            </w:tabs>
          </w:pPr>
          <w:hyperlink w:anchor="__RefHeading___Toc9329_1729075678" w:tooltip="7.2 The Contract Giver">
            <w:r>
              <w:rPr>
                <w:rStyle w:val="IndexLink"/>
                <w:webHidden/>
              </w:rPr>
              <w:t>7.2 The Contract Giver</w:t>
            </w:r>
            <w:r>
              <w:rPr>
                <w:rStyle w:val="IndexLink"/>
              </w:rPr>
              <w:tab/>
              <w:t>57</w:t>
            </w:r>
          </w:hyperlink>
        </w:p>
        <w:p w14:paraId="1F466FDC" w14:textId="77777777" w:rsidR="00CD5946" w:rsidRDefault="00CD5946">
          <w:pPr>
            <w:pStyle w:val="TOC2"/>
            <w:tabs>
              <w:tab w:val="clear" w:pos="9077"/>
              <w:tab w:val="right" w:leader="dot" w:pos="9359"/>
            </w:tabs>
          </w:pPr>
          <w:hyperlink w:anchor="__RefHeading___Toc9331_1729075678" w:tooltip="7.3 The Contract Acceptor">
            <w:r>
              <w:rPr>
                <w:rStyle w:val="IndexLink"/>
                <w:webHidden/>
              </w:rPr>
              <w:t>7.3 The Contract Acceptor</w:t>
            </w:r>
            <w:r>
              <w:rPr>
                <w:rStyle w:val="IndexLink"/>
              </w:rPr>
              <w:tab/>
              <w:t>57</w:t>
            </w:r>
          </w:hyperlink>
        </w:p>
        <w:p w14:paraId="6C3E0464" w14:textId="77777777" w:rsidR="00CD5946" w:rsidRDefault="00CD5946">
          <w:pPr>
            <w:pStyle w:val="TOC2"/>
            <w:tabs>
              <w:tab w:val="clear" w:pos="9077"/>
              <w:tab w:val="right" w:leader="dot" w:pos="9359"/>
            </w:tabs>
          </w:pPr>
          <w:hyperlink w:anchor="__RefHeading___Toc9333_1729075678" w:tooltip="7.4 The Contract">
            <w:r>
              <w:rPr>
                <w:rStyle w:val="IndexLink"/>
                <w:webHidden/>
              </w:rPr>
              <w:t>7.4 The Contract</w:t>
            </w:r>
            <w:r>
              <w:rPr>
                <w:rStyle w:val="IndexLink"/>
              </w:rPr>
              <w:tab/>
              <w:t>57</w:t>
            </w:r>
          </w:hyperlink>
        </w:p>
        <w:p w14:paraId="223B5662"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webHidden/>
              </w:rPr>
              <w:t>Chapter 8 — Complaints, Quality Defects and Product Recalls</w:t>
            </w:r>
            <w:r>
              <w:rPr>
                <w:rStyle w:val="IndexLink"/>
              </w:rPr>
              <w:tab/>
              <w:t>59</w:t>
            </w:r>
          </w:hyperlink>
        </w:p>
        <w:p w14:paraId="596DB05D" w14:textId="77777777" w:rsidR="00CD5946" w:rsidRDefault="00CD5946">
          <w:pPr>
            <w:pStyle w:val="TOC2"/>
            <w:tabs>
              <w:tab w:val="clear" w:pos="9077"/>
              <w:tab w:val="right" w:leader="dot" w:pos="9359"/>
            </w:tabs>
          </w:pPr>
          <w:hyperlink w:anchor="__RefHeading___Toc9337_1729075678" w:tooltip="8.1 Personnel and organisation">
            <w:r>
              <w:rPr>
                <w:rStyle w:val="IndexLink"/>
                <w:webHidden/>
              </w:rPr>
              <w:t>8.1 Personnel and organisation</w:t>
            </w:r>
            <w:r>
              <w:rPr>
                <w:rStyle w:val="IndexLink"/>
              </w:rPr>
              <w:tab/>
              <w:t>59</w:t>
            </w:r>
          </w:hyperlink>
        </w:p>
        <w:p w14:paraId="6013B38E" w14:textId="77777777" w:rsidR="00CD5946" w:rsidRDefault="00CD5946">
          <w:pPr>
            <w:pStyle w:val="TOC2"/>
            <w:tabs>
              <w:tab w:val="clear" w:pos="9077"/>
              <w:tab w:val="right" w:leader="dot" w:pos="9359"/>
            </w:tabs>
          </w:pPr>
          <w:hyperlink w:anchor="__RefHeading___Toc9339_1729075678" w:tooltip="8.2 Handling and investigating complaints">
            <w:r>
              <w:rPr>
                <w:rStyle w:val="IndexLink"/>
                <w:webHidden/>
              </w:rPr>
              <w:t>8.2 Handling and investigating complaints</w:t>
            </w:r>
            <w:r>
              <w:rPr>
                <w:rStyle w:val="IndexLink"/>
              </w:rPr>
              <w:tab/>
              <w:t>59</w:t>
            </w:r>
          </w:hyperlink>
        </w:p>
        <w:p w14:paraId="6EDC2B45" w14:textId="77777777" w:rsidR="00CD5946" w:rsidRDefault="00CD5946">
          <w:pPr>
            <w:pStyle w:val="TOC2"/>
            <w:tabs>
              <w:tab w:val="clear" w:pos="9077"/>
              <w:tab w:val="right" w:leader="dot" w:pos="9359"/>
            </w:tabs>
          </w:pPr>
          <w:hyperlink w:anchor="__RefHeading___Toc9341_1729075678" w:tooltip="8.3 Root cause analysis and corrective and preventive actions">
            <w:r>
              <w:rPr>
                <w:rStyle w:val="IndexLink"/>
                <w:webHidden/>
              </w:rPr>
              <w:t>8.3 Root cause analysis and corrective and preventive actions</w:t>
            </w:r>
            <w:r>
              <w:rPr>
                <w:rStyle w:val="IndexLink"/>
              </w:rPr>
              <w:tab/>
              <w:t>59</w:t>
            </w:r>
          </w:hyperlink>
        </w:p>
        <w:p w14:paraId="0F74EA5C" w14:textId="77777777" w:rsidR="00CD5946" w:rsidRDefault="00CD5946">
          <w:pPr>
            <w:pStyle w:val="TOC2"/>
            <w:tabs>
              <w:tab w:val="clear" w:pos="9077"/>
              <w:tab w:val="right" w:leader="dot" w:pos="9359"/>
            </w:tabs>
          </w:pPr>
          <w:hyperlink w:anchor="__RefHeading___Toc9343_1729075678" w:tooltip="8.4 Product recalls and other potential risk-reducing actions">
            <w:r>
              <w:rPr>
                <w:rStyle w:val="IndexLink"/>
                <w:webHidden/>
              </w:rPr>
              <w:t>8.4 Product recalls and other potential risk-reducing actions</w:t>
            </w:r>
            <w:r>
              <w:rPr>
                <w:rStyle w:val="IndexLink"/>
              </w:rPr>
              <w:tab/>
              <w:t>60</w:t>
            </w:r>
          </w:hyperlink>
        </w:p>
        <w:p w14:paraId="134F7B4E" w14:textId="77777777" w:rsidR="00CD5946" w:rsidRDefault="00CD5946">
          <w:pPr>
            <w:pStyle w:val="TOC1"/>
            <w:tabs>
              <w:tab w:val="clear" w:pos="9360"/>
              <w:tab w:val="right" w:leader="dot" w:pos="9359"/>
            </w:tabs>
          </w:pPr>
          <w:hyperlink w:anchor="__RefHeading___Toc9345_1729075678" w:tooltip="Chapter 9 — Self-Inspection">
            <w:r>
              <w:rPr>
                <w:rStyle w:val="IndexLink"/>
                <w:webHidden/>
              </w:rPr>
              <w:t>Chapter 9 — Self-Inspection</w:t>
            </w:r>
            <w:r>
              <w:rPr>
                <w:rStyle w:val="IndexLink"/>
              </w:rPr>
              <w:tab/>
              <w:t>61</w:t>
            </w:r>
          </w:hyperlink>
        </w:p>
        <w:p w14:paraId="6B3A156F" w14:textId="77777777" w:rsidR="00CD5946" w:rsidRDefault="00CD5946">
          <w:pPr>
            <w:pStyle w:val="TOC2"/>
            <w:tabs>
              <w:tab w:val="clear" w:pos="9077"/>
              <w:tab w:val="right" w:leader="dot" w:pos="9359"/>
            </w:tabs>
          </w:pPr>
          <w:hyperlink w:anchor="__RefHeading___Toc9347_1729075678" w:tooltip="9.1 Self-inspection">
            <w:r>
              <w:rPr>
                <w:rStyle w:val="IndexLink"/>
                <w:webHidden/>
              </w:rPr>
              <w:t>9.1 Self-inspection</w:t>
            </w:r>
            <w:r>
              <w:rPr>
                <w:rStyle w:val="IndexLink"/>
              </w:rPr>
              <w:tab/>
              <w:t>61</w:t>
            </w:r>
          </w:hyperlink>
        </w:p>
        <w:p w14:paraId="2E5522B6" w14:textId="77777777" w:rsidR="00CD5946" w:rsidRDefault="00CD5946">
          <w:pPr>
            <w:pStyle w:val="TOC1"/>
            <w:tabs>
              <w:tab w:val="clear" w:pos="9360"/>
              <w:tab w:val="right" w:leader="dot" w:pos="9359"/>
            </w:tabs>
          </w:pPr>
          <w:hyperlink w:anchor="__RefHeading___Toc9349_1729075678" w:tooltip="Contents">
            <w:r>
              <w:rPr>
                <w:rStyle w:val="IndexLink"/>
                <w:webHidden/>
              </w:rPr>
              <w:t>Contents</w:t>
            </w:r>
            <w:r>
              <w:rPr>
                <w:rStyle w:val="IndexLink"/>
              </w:rPr>
              <w:tab/>
              <w:t>63</w:t>
            </w:r>
          </w:hyperlink>
        </w:p>
        <w:p w14:paraId="13215C70"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webHidden/>
              </w:rPr>
              <w:t>Part II — Basic Requirements for Active Substances used as Starting Materials</w:t>
            </w:r>
            <w:r>
              <w:rPr>
                <w:rStyle w:val="IndexLink"/>
              </w:rPr>
              <w:tab/>
              <w:t>64</w:t>
            </w:r>
          </w:hyperlink>
        </w:p>
        <w:p w14:paraId="01E3F0A2" w14:textId="77777777" w:rsidR="00CD5946" w:rsidRDefault="00CD5946">
          <w:pPr>
            <w:pStyle w:val="TOC3"/>
            <w:tabs>
              <w:tab w:val="clear" w:pos="8793"/>
              <w:tab w:val="right" w:leader="dot" w:pos="9359"/>
            </w:tabs>
          </w:pPr>
          <w:hyperlink w:anchor="__RefHeading___Toc9353_1729075678" w:tooltip="Scope and the point at which GMP applies">
            <w:r>
              <w:rPr>
                <w:rStyle w:val="IndexLink"/>
                <w:webHidden/>
              </w:rPr>
              <w:t>Scope and the point at which GMP applies</w:t>
            </w:r>
            <w:r>
              <w:rPr>
                <w:rStyle w:val="IndexLink"/>
              </w:rPr>
              <w:tab/>
              <w:t>66</w:t>
            </w:r>
          </w:hyperlink>
        </w:p>
        <w:p w14:paraId="20933651" w14:textId="77777777" w:rsidR="00CD5946" w:rsidRDefault="00CD5946">
          <w:pPr>
            <w:pStyle w:val="TOC2"/>
            <w:tabs>
              <w:tab w:val="clear" w:pos="9077"/>
              <w:tab w:val="right" w:leader="dot" w:pos="9359"/>
            </w:tabs>
          </w:pPr>
          <w:hyperlink w:anchor="__RefHeading___Toc9355_1729075678" w:tooltip="II.1 Quality management">
            <w:r>
              <w:rPr>
                <w:rStyle w:val="IndexLink"/>
                <w:webHidden/>
              </w:rPr>
              <w:t>II.1 Quality management</w:t>
            </w:r>
            <w:r>
              <w:rPr>
                <w:rStyle w:val="IndexLink"/>
              </w:rPr>
              <w:tab/>
              <w:t>66</w:t>
            </w:r>
          </w:hyperlink>
        </w:p>
        <w:p w14:paraId="4A97957F" w14:textId="77777777" w:rsidR="00CD5946" w:rsidRDefault="00CD5946">
          <w:pPr>
            <w:pStyle w:val="TOC2"/>
            <w:tabs>
              <w:tab w:val="clear" w:pos="9077"/>
              <w:tab w:val="right" w:leader="dot" w:pos="9359"/>
            </w:tabs>
          </w:pPr>
          <w:hyperlink w:anchor="__RefHeading___Toc9357_1729075678" w:tooltip="II.2 Personnel">
            <w:r>
              <w:rPr>
                <w:rStyle w:val="IndexLink"/>
                <w:webHidden/>
              </w:rPr>
              <w:t>II.2 Personnel</w:t>
            </w:r>
            <w:r>
              <w:rPr>
                <w:rStyle w:val="IndexLink"/>
              </w:rPr>
              <w:tab/>
              <w:t>67</w:t>
            </w:r>
          </w:hyperlink>
        </w:p>
        <w:p w14:paraId="344F1256" w14:textId="77777777" w:rsidR="00CD5946" w:rsidRDefault="00CD5946">
          <w:pPr>
            <w:pStyle w:val="TOC2"/>
            <w:tabs>
              <w:tab w:val="clear" w:pos="9077"/>
              <w:tab w:val="right" w:leader="dot" w:pos="9359"/>
            </w:tabs>
          </w:pPr>
          <w:hyperlink w:anchor="__RefHeading___Toc9359_1729075678" w:tooltip="II.3 Buildings and facilities">
            <w:r>
              <w:rPr>
                <w:rStyle w:val="IndexLink"/>
                <w:webHidden/>
              </w:rPr>
              <w:t>II.3 Buildings and facilities</w:t>
            </w:r>
            <w:r>
              <w:rPr>
                <w:rStyle w:val="IndexLink"/>
              </w:rPr>
              <w:tab/>
              <w:t>67</w:t>
            </w:r>
          </w:hyperlink>
        </w:p>
        <w:p w14:paraId="587F47FB" w14:textId="77777777" w:rsidR="00CD5946" w:rsidRDefault="00CD5946">
          <w:pPr>
            <w:pStyle w:val="TOC2"/>
            <w:tabs>
              <w:tab w:val="clear" w:pos="9077"/>
              <w:tab w:val="right" w:leader="dot" w:pos="9359"/>
            </w:tabs>
          </w:pPr>
          <w:hyperlink w:anchor="__RefHeading___Toc9361_1729075678" w:tooltip="II.4 Process equipment">
            <w:r>
              <w:rPr>
                <w:rStyle w:val="IndexLink"/>
                <w:webHidden/>
              </w:rPr>
              <w:t>II.4 Process equipment</w:t>
            </w:r>
            <w:r>
              <w:rPr>
                <w:rStyle w:val="IndexLink"/>
              </w:rPr>
              <w:tab/>
              <w:t>68</w:t>
            </w:r>
          </w:hyperlink>
        </w:p>
        <w:p w14:paraId="25F940C0" w14:textId="77777777" w:rsidR="00CD5946" w:rsidRDefault="00CD5946">
          <w:pPr>
            <w:pStyle w:val="TOC2"/>
            <w:tabs>
              <w:tab w:val="clear" w:pos="9077"/>
              <w:tab w:val="right" w:leader="dot" w:pos="9359"/>
            </w:tabs>
          </w:pPr>
          <w:hyperlink w:anchor="__RefHeading___Toc9363_1729075678" w:tooltip="II.5 Documentation and records">
            <w:r>
              <w:rPr>
                <w:rStyle w:val="IndexLink"/>
                <w:webHidden/>
              </w:rPr>
              <w:t>II.5 Documentation and records</w:t>
            </w:r>
            <w:r>
              <w:rPr>
                <w:rStyle w:val="IndexLink"/>
              </w:rPr>
              <w:tab/>
              <w:t>69</w:t>
            </w:r>
          </w:hyperlink>
        </w:p>
        <w:p w14:paraId="6635D40C" w14:textId="77777777" w:rsidR="00CD5946" w:rsidRDefault="00CD5946">
          <w:pPr>
            <w:pStyle w:val="TOC2"/>
            <w:tabs>
              <w:tab w:val="clear" w:pos="9077"/>
              <w:tab w:val="right" w:leader="dot" w:pos="9359"/>
            </w:tabs>
          </w:pPr>
          <w:hyperlink w:anchor="__RefHeading___Toc9365_1729075678" w:tooltip="II.6 Materials management">
            <w:r>
              <w:rPr>
                <w:rStyle w:val="IndexLink"/>
                <w:webHidden/>
              </w:rPr>
              <w:t>II.6 Materials management</w:t>
            </w:r>
            <w:r>
              <w:rPr>
                <w:rStyle w:val="IndexLink"/>
              </w:rPr>
              <w:tab/>
              <w:t>69</w:t>
            </w:r>
          </w:hyperlink>
        </w:p>
        <w:p w14:paraId="3A14C972" w14:textId="77777777" w:rsidR="00CD5946" w:rsidRDefault="00CD5946">
          <w:pPr>
            <w:pStyle w:val="TOC2"/>
            <w:tabs>
              <w:tab w:val="clear" w:pos="9077"/>
              <w:tab w:val="right" w:leader="dot" w:pos="9359"/>
            </w:tabs>
          </w:pPr>
          <w:hyperlink w:anchor="__RefHeading___Toc9367_1729075678" w:tooltip="II.7 Production and in-process controls">
            <w:r>
              <w:rPr>
                <w:rStyle w:val="IndexLink"/>
                <w:webHidden/>
              </w:rPr>
              <w:t>II.7 Production and in-process controls</w:t>
            </w:r>
            <w:r>
              <w:rPr>
                <w:rStyle w:val="IndexLink"/>
              </w:rPr>
              <w:tab/>
              <w:t>70</w:t>
            </w:r>
          </w:hyperlink>
        </w:p>
        <w:p w14:paraId="4A80E245" w14:textId="77777777" w:rsidR="00CD5946" w:rsidRDefault="00CD5946">
          <w:pPr>
            <w:pStyle w:val="TOC2"/>
            <w:tabs>
              <w:tab w:val="clear" w:pos="9077"/>
              <w:tab w:val="right" w:leader="dot" w:pos="9359"/>
            </w:tabs>
          </w:pPr>
          <w:hyperlink w:anchor="__RefHeading___Toc9369_1729075678" w:tooltip="II.8 Packaging and identification labelling">
            <w:r>
              <w:rPr>
                <w:rStyle w:val="IndexLink"/>
                <w:webHidden/>
              </w:rPr>
              <w:t>II.8 Packaging and identification labelling</w:t>
            </w:r>
            <w:r>
              <w:rPr>
                <w:rStyle w:val="IndexLink"/>
              </w:rPr>
              <w:tab/>
              <w:t>70</w:t>
            </w:r>
          </w:hyperlink>
        </w:p>
        <w:p w14:paraId="4D755253" w14:textId="77777777" w:rsidR="00CD5946" w:rsidRDefault="00CD5946">
          <w:pPr>
            <w:pStyle w:val="TOC2"/>
            <w:tabs>
              <w:tab w:val="clear" w:pos="9077"/>
              <w:tab w:val="right" w:leader="dot" w:pos="9359"/>
            </w:tabs>
          </w:pPr>
          <w:hyperlink w:anchor="__RefHeading___Toc9371_1729075678" w:tooltip="II.9 Storage and distribution">
            <w:r>
              <w:rPr>
                <w:rStyle w:val="IndexLink"/>
                <w:webHidden/>
              </w:rPr>
              <w:t>II.9 Storage and distribution</w:t>
            </w:r>
            <w:r>
              <w:rPr>
                <w:rStyle w:val="IndexLink"/>
              </w:rPr>
              <w:tab/>
              <w:t>70</w:t>
            </w:r>
          </w:hyperlink>
        </w:p>
        <w:p w14:paraId="28E40B27" w14:textId="77777777" w:rsidR="00CD5946" w:rsidRDefault="00CD5946">
          <w:pPr>
            <w:pStyle w:val="TOC2"/>
            <w:tabs>
              <w:tab w:val="clear" w:pos="9077"/>
              <w:tab w:val="right" w:leader="dot" w:pos="9359"/>
            </w:tabs>
          </w:pPr>
          <w:hyperlink w:anchor="__RefHeading___Toc9373_1729075678" w:tooltip="II.10 Laboratory controls">
            <w:r>
              <w:rPr>
                <w:rStyle w:val="IndexLink"/>
                <w:webHidden/>
              </w:rPr>
              <w:t>II.10 Laboratory controls</w:t>
            </w:r>
            <w:r>
              <w:rPr>
                <w:rStyle w:val="IndexLink"/>
              </w:rPr>
              <w:tab/>
              <w:t>70</w:t>
            </w:r>
          </w:hyperlink>
        </w:p>
        <w:p w14:paraId="4F8C9835" w14:textId="77777777" w:rsidR="00CD5946" w:rsidRDefault="00CD5946">
          <w:pPr>
            <w:pStyle w:val="TOC2"/>
            <w:tabs>
              <w:tab w:val="clear" w:pos="9077"/>
              <w:tab w:val="right" w:leader="dot" w:pos="9359"/>
            </w:tabs>
          </w:pPr>
          <w:hyperlink w:anchor="__RefHeading___Toc9375_1729075678" w:tooltip="II.11 Validation">
            <w:r>
              <w:rPr>
                <w:rStyle w:val="IndexLink"/>
                <w:webHidden/>
              </w:rPr>
              <w:t>II.11 Validation</w:t>
            </w:r>
            <w:r>
              <w:rPr>
                <w:rStyle w:val="IndexLink"/>
              </w:rPr>
              <w:tab/>
              <w:t>71</w:t>
            </w:r>
          </w:hyperlink>
        </w:p>
        <w:p w14:paraId="5FB7F634" w14:textId="77777777" w:rsidR="00CD5946" w:rsidRDefault="00CD5946">
          <w:pPr>
            <w:pStyle w:val="TOC2"/>
            <w:tabs>
              <w:tab w:val="clear" w:pos="9077"/>
              <w:tab w:val="right" w:leader="dot" w:pos="9359"/>
            </w:tabs>
          </w:pPr>
          <w:hyperlink w:anchor="__RefHeading___Toc9377_1729075678" w:tooltip="II.12 Change control">
            <w:r>
              <w:rPr>
                <w:rStyle w:val="IndexLink"/>
                <w:webHidden/>
              </w:rPr>
              <w:t>II.12 Change control</w:t>
            </w:r>
            <w:r>
              <w:rPr>
                <w:rStyle w:val="IndexLink"/>
              </w:rPr>
              <w:tab/>
              <w:t>71</w:t>
            </w:r>
          </w:hyperlink>
        </w:p>
        <w:p w14:paraId="2F6D17A3" w14:textId="77777777" w:rsidR="00CD5946" w:rsidRDefault="00CD5946">
          <w:pPr>
            <w:pStyle w:val="TOC2"/>
            <w:tabs>
              <w:tab w:val="clear" w:pos="9077"/>
              <w:tab w:val="right" w:leader="dot" w:pos="9359"/>
            </w:tabs>
          </w:pPr>
          <w:hyperlink w:anchor="__RefHeading___Toc9379_1729075678" w:tooltip="II.13 Rejection and re-use of materials">
            <w:r>
              <w:rPr>
                <w:rStyle w:val="IndexLink"/>
                <w:webHidden/>
              </w:rPr>
              <w:t>II.13 Rejection and re-use of materials</w:t>
            </w:r>
            <w:r>
              <w:rPr>
                <w:rStyle w:val="IndexLink"/>
              </w:rPr>
              <w:tab/>
              <w:t>72</w:t>
            </w:r>
          </w:hyperlink>
        </w:p>
        <w:p w14:paraId="07308D87" w14:textId="77777777" w:rsidR="00CD5946" w:rsidRDefault="00CD5946">
          <w:pPr>
            <w:pStyle w:val="TOC2"/>
            <w:tabs>
              <w:tab w:val="clear" w:pos="9077"/>
              <w:tab w:val="right" w:leader="dot" w:pos="9359"/>
            </w:tabs>
          </w:pPr>
          <w:hyperlink w:anchor="__RefHeading___Toc9381_1729075678" w:tooltip="II.14 Complaints and recalls">
            <w:r>
              <w:rPr>
                <w:rStyle w:val="IndexLink"/>
                <w:webHidden/>
              </w:rPr>
              <w:t>II.14 Complaints and recalls</w:t>
            </w:r>
            <w:r>
              <w:rPr>
                <w:rStyle w:val="IndexLink"/>
              </w:rPr>
              <w:tab/>
              <w:t>72</w:t>
            </w:r>
          </w:hyperlink>
        </w:p>
        <w:p w14:paraId="6CB22831" w14:textId="77777777" w:rsidR="00CD5946" w:rsidRDefault="00CD5946">
          <w:pPr>
            <w:pStyle w:val="TOC2"/>
            <w:tabs>
              <w:tab w:val="clear" w:pos="9077"/>
              <w:tab w:val="right" w:leader="dot" w:pos="9359"/>
            </w:tabs>
          </w:pPr>
          <w:hyperlink w:anchor="__RefHeading___Toc9383_1729075678" w:tooltip="II.15 Contract manufacturers and laboratories">
            <w:r>
              <w:rPr>
                <w:rStyle w:val="IndexLink"/>
                <w:webHidden/>
              </w:rPr>
              <w:t>II.15 Contract manufacturers and laboratories</w:t>
            </w:r>
            <w:r>
              <w:rPr>
                <w:rStyle w:val="IndexLink"/>
              </w:rPr>
              <w:tab/>
              <w:t>72</w:t>
            </w:r>
          </w:hyperlink>
        </w:p>
        <w:p w14:paraId="09BCC9D4" w14:textId="77777777" w:rsidR="00CD5946" w:rsidRDefault="00CD5946">
          <w:pPr>
            <w:pStyle w:val="TOC2"/>
            <w:tabs>
              <w:tab w:val="clear" w:pos="9077"/>
              <w:tab w:val="right" w:leader="dot" w:pos="9359"/>
            </w:tabs>
          </w:pPr>
          <w:hyperlink w:anchor="__RefHeading___Toc9385_1729075678" w:tooltip="II.16 Agents, brokers, traders, distributors, repackers and relabellers">
            <w:r>
              <w:rPr>
                <w:rStyle w:val="IndexLink"/>
                <w:webHidden/>
              </w:rPr>
              <w:t>II.16 Agents, brokers, traders, distributors, repackers and relabellers</w:t>
            </w:r>
            <w:r>
              <w:rPr>
                <w:rStyle w:val="IndexLink"/>
              </w:rPr>
              <w:tab/>
              <w:t>72</w:t>
            </w:r>
          </w:hyperlink>
        </w:p>
        <w:p w14:paraId="2A977E64" w14:textId="77777777" w:rsidR="00CD5946" w:rsidRDefault="00CD5946">
          <w:pPr>
            <w:pStyle w:val="TOC2"/>
            <w:tabs>
              <w:tab w:val="clear" w:pos="9077"/>
              <w:tab w:val="right" w:leader="dot" w:pos="9359"/>
            </w:tabs>
          </w:pPr>
          <w:hyperlink w:anchor="__RefHeading___Toc9387_1729075678" w:tooltip="II.17 APIs by cell culture / fermentation and APIs for clinical trials">
            <w:r>
              <w:rPr>
                <w:rStyle w:val="IndexLink"/>
                <w:webHidden/>
              </w:rPr>
              <w:t>II.17 APIs by cell culture / fermentation and APIs for clinical trials</w:t>
            </w:r>
            <w:r>
              <w:rPr>
                <w:rStyle w:val="IndexLink"/>
              </w:rPr>
              <w:tab/>
              <w:t>72</w:t>
            </w:r>
          </w:hyperlink>
        </w:p>
        <w:p w14:paraId="10D89AE6" w14:textId="77777777" w:rsidR="00CD5946" w:rsidRDefault="00CD5946">
          <w:pPr>
            <w:pStyle w:val="TOC1"/>
            <w:tabs>
              <w:tab w:val="clear" w:pos="9360"/>
              <w:tab w:val="right" w:leader="dot" w:pos="9359"/>
            </w:tabs>
          </w:pPr>
          <w:hyperlink w:anchor="__RefHeading___Toc9389_1729075678" w:tooltip="Part III — GMP-related Documents">
            <w:r>
              <w:rPr>
                <w:rStyle w:val="IndexLink"/>
                <w:webHidden/>
              </w:rPr>
              <w:t>Part III — GMP-related Documents</w:t>
            </w:r>
            <w:r>
              <w:rPr>
                <w:rStyle w:val="IndexLink"/>
              </w:rPr>
              <w:tab/>
              <w:t>73</w:t>
            </w:r>
          </w:hyperlink>
        </w:p>
        <w:p w14:paraId="60BB117D" w14:textId="77777777" w:rsidR="00CD5946" w:rsidRDefault="00CD5946">
          <w:pPr>
            <w:pStyle w:val="TOC2"/>
            <w:tabs>
              <w:tab w:val="clear" w:pos="9077"/>
              <w:tab w:val="right" w:leader="dot" w:pos="9359"/>
            </w:tabs>
          </w:pPr>
          <w:hyperlink w:anchor="__RefHeading___Toc9391_1729075678" w:tooltip="III.1 Site Master File (SMF)">
            <w:r>
              <w:rPr>
                <w:rStyle w:val="IndexLink"/>
                <w:webHidden/>
              </w:rPr>
              <w:t>III.1 Site Master File (SMF)</w:t>
            </w:r>
            <w:r>
              <w:rPr>
                <w:rStyle w:val="IndexLink"/>
              </w:rPr>
              <w:tab/>
              <w:t>73</w:t>
            </w:r>
          </w:hyperlink>
        </w:p>
        <w:p w14:paraId="039AE180" w14:textId="77777777" w:rsidR="00CD5946" w:rsidRDefault="00CD5946">
          <w:pPr>
            <w:pStyle w:val="TOC2"/>
            <w:tabs>
              <w:tab w:val="clear" w:pos="9077"/>
              <w:tab w:val="right" w:leader="dot" w:pos="9359"/>
            </w:tabs>
          </w:pPr>
          <w:hyperlink w:anchor="__RefHeading___Toc9393_1729075678" w:tooltip="III.2 Quality Risk Management (ICH Q9)">
            <w:r>
              <w:rPr>
                <w:rStyle w:val="IndexLink"/>
                <w:webHidden/>
              </w:rPr>
              <w:t>III.2 Quality Risk Management (ICH Q9)</w:t>
            </w:r>
            <w:r>
              <w:rPr>
                <w:rStyle w:val="IndexLink"/>
              </w:rPr>
              <w:tab/>
              <w:t>73</w:t>
            </w:r>
          </w:hyperlink>
        </w:p>
        <w:p w14:paraId="67C98CFE" w14:textId="77777777" w:rsidR="00CD5946" w:rsidRDefault="00CD5946">
          <w:pPr>
            <w:pStyle w:val="TOC2"/>
            <w:tabs>
              <w:tab w:val="clear" w:pos="9077"/>
              <w:tab w:val="right" w:leader="dot" w:pos="9359"/>
            </w:tabs>
          </w:pPr>
          <w:hyperlink w:anchor="__RefHeading___Toc9395_1729075678" w:tooltip="III.3 Pharmaceutical Quality System (ICH Q10)">
            <w:r>
              <w:rPr>
                <w:rStyle w:val="IndexLink"/>
                <w:webHidden/>
              </w:rPr>
              <w:t>III.3 Pharmaceutical Quality System (ICH Q10)</w:t>
            </w:r>
            <w:r>
              <w:rPr>
                <w:rStyle w:val="IndexLink"/>
              </w:rPr>
              <w:tab/>
              <w:t>74</w:t>
            </w:r>
          </w:hyperlink>
        </w:p>
        <w:p w14:paraId="3A32CD88" w14:textId="77777777" w:rsidR="00CD5946" w:rsidRDefault="00CD5946">
          <w:pPr>
            <w:pStyle w:val="TOC2"/>
            <w:tabs>
              <w:tab w:val="clear" w:pos="9077"/>
              <w:tab w:val="right" w:leader="dot" w:pos="9359"/>
            </w:tabs>
          </w:pPr>
          <w:hyperlink w:anchor="__RefHeading___Toc9397_1729075678" w:tooltip="III.4 Batch certification content (reliance and mutual recognition)">
            <w:r>
              <w:rPr>
                <w:rStyle w:val="IndexLink"/>
                <w:webHidden/>
              </w:rPr>
              <w:t>III.4 Batch certification content (reliance and mutual recognition)</w:t>
            </w:r>
            <w:r>
              <w:rPr>
                <w:rStyle w:val="IndexLink"/>
              </w:rPr>
              <w:tab/>
              <w:t>74</w:t>
            </w:r>
          </w:hyperlink>
        </w:p>
        <w:p w14:paraId="4A03AB67" w14:textId="77777777" w:rsidR="00CD5946" w:rsidRDefault="00CD5946">
          <w:pPr>
            <w:pStyle w:val="TOC1"/>
            <w:tabs>
              <w:tab w:val="clear" w:pos="9360"/>
              <w:tab w:val="right" w:leader="dot" w:pos="9359"/>
            </w:tabs>
          </w:pPr>
          <w:hyperlink w:anchor="__RefHeading___Toc9399_1729075678" w:tooltip="Contents">
            <w:r>
              <w:rPr>
                <w:rStyle w:val="IndexLink"/>
                <w:webHidden/>
              </w:rPr>
              <w:t>Contents</w:t>
            </w:r>
            <w:r>
              <w:rPr>
                <w:rStyle w:val="IndexLink"/>
              </w:rPr>
              <w:tab/>
              <w:t>76</w:t>
            </w:r>
          </w:hyperlink>
        </w:p>
        <w:p w14:paraId="09D375D3"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webHidden/>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105BC63E" w14:textId="77777777" w:rsidR="00CD5946" w:rsidRDefault="00CD5946">
          <w:pPr>
            <w:pStyle w:val="TOC2"/>
            <w:tabs>
              <w:tab w:val="clear" w:pos="9077"/>
              <w:tab w:val="right" w:leader="dot" w:pos="9359"/>
            </w:tabs>
          </w:pPr>
          <w:hyperlink w:anchor="__RefHeading___Toc9403_1729075678" w:tooltip="1. Scope النطاق">
            <w:r>
              <w:rPr>
                <w:rStyle w:val="IndexLink"/>
                <w:webHidden/>
              </w:rPr>
              <w:t>1. Scope</w:t>
            </w:r>
            <w:r>
              <w:rPr>
                <w:rStyle w:val="IndexLink"/>
              </w:rPr>
              <w:t xml:space="preserve"> </w:t>
            </w:r>
            <w:r>
              <w:rPr>
                <w:rStyle w:val="IndexLink"/>
                <w:rtl/>
              </w:rPr>
              <w:t>النطاق</w:t>
            </w:r>
            <w:r>
              <w:rPr>
                <w:rStyle w:val="IndexLink"/>
              </w:rPr>
              <w:tab/>
              <w:t>78</w:t>
            </w:r>
          </w:hyperlink>
        </w:p>
        <w:p w14:paraId="2BD100E8" w14:textId="77777777" w:rsidR="00CD5946" w:rsidRDefault="00CD5946">
          <w:pPr>
            <w:pStyle w:val="TOC2"/>
            <w:tabs>
              <w:tab w:val="clear" w:pos="9077"/>
              <w:tab w:val="right" w:leader="dot" w:pos="9359"/>
            </w:tabs>
          </w:pPr>
          <w:hyperlink w:anchor="__RefHeading___Toc9405_1729075678" w:tooltip="2. Contamination Control Strategy (CCS) استراتيجية ضبط التلوث">
            <w:r>
              <w:rPr>
                <w:rStyle w:val="IndexLink"/>
                <w:webHidden/>
              </w:rPr>
              <w:t>2. Contamination Control Strategy (CCS)</w:t>
            </w:r>
            <w:r>
              <w:rPr>
                <w:rStyle w:val="IndexLink"/>
              </w:rPr>
              <w:t xml:space="preserve"> </w:t>
            </w:r>
            <w:r>
              <w:rPr>
                <w:rStyle w:val="IndexLink"/>
                <w:rtl/>
              </w:rPr>
              <w:t>استراتيجية ضبط التلوث</w:t>
            </w:r>
            <w:r>
              <w:rPr>
                <w:rStyle w:val="IndexLink"/>
              </w:rPr>
              <w:tab/>
              <w:t>79</w:t>
            </w:r>
          </w:hyperlink>
        </w:p>
        <w:p w14:paraId="0C1C8998" w14:textId="77777777" w:rsidR="00CD5946" w:rsidRDefault="00CD5946">
          <w:pPr>
            <w:pStyle w:val="TOC2"/>
            <w:tabs>
              <w:tab w:val="clear" w:pos="9077"/>
              <w:tab w:val="right" w:leader="dot" w:pos="9359"/>
            </w:tabs>
          </w:pPr>
          <w:hyperlink w:anchor="__RefHeading___Toc9407_1729075678" w:tooltip="3. Pharmaceutical Quality System نظام الجودة الصيدلاني">
            <w:r>
              <w:rPr>
                <w:rStyle w:val="IndexLink"/>
                <w:webHidden/>
              </w:rPr>
              <w:t>3. Pharmaceutical Quality System</w:t>
            </w:r>
            <w:r>
              <w:rPr>
                <w:rStyle w:val="IndexLink"/>
              </w:rPr>
              <w:t xml:space="preserve"> </w:t>
            </w:r>
            <w:r>
              <w:rPr>
                <w:rStyle w:val="IndexLink"/>
                <w:rtl/>
              </w:rPr>
              <w:t>نظام الجودة الصيدلاني</w:t>
            </w:r>
            <w:r>
              <w:rPr>
                <w:rStyle w:val="IndexLink"/>
              </w:rPr>
              <w:tab/>
              <w:t>80</w:t>
            </w:r>
          </w:hyperlink>
        </w:p>
        <w:p w14:paraId="3DD7405F" w14:textId="77777777" w:rsidR="00CD5946" w:rsidRDefault="00CD5946">
          <w:pPr>
            <w:pStyle w:val="TOC2"/>
            <w:tabs>
              <w:tab w:val="clear" w:pos="9077"/>
              <w:tab w:val="right" w:leader="dot" w:pos="9359"/>
            </w:tabs>
          </w:pPr>
          <w:hyperlink w:anchor="__RefHeading___Toc9409_1729075678" w:tooltip="4. Premises and cleanroom classification المباني وتصنيف الغرف النظيفة">
            <w:r>
              <w:rPr>
                <w:rStyle w:val="IndexLink"/>
                <w:webHidden/>
              </w:rPr>
              <w:t>4. Premises and cleanroom classification</w:t>
            </w:r>
            <w:r>
              <w:rPr>
                <w:rStyle w:val="IndexLink"/>
              </w:rPr>
              <w:t xml:space="preserve"> </w:t>
            </w:r>
            <w:r>
              <w:rPr>
                <w:rStyle w:val="IndexLink"/>
                <w:rtl/>
              </w:rPr>
              <w:t>المباني وتصنيف الغرف النظيفة</w:t>
            </w:r>
            <w:r>
              <w:rPr>
                <w:rStyle w:val="IndexLink"/>
              </w:rPr>
              <w:tab/>
              <w:t>81</w:t>
            </w:r>
          </w:hyperlink>
        </w:p>
        <w:p w14:paraId="05CD402D" w14:textId="77777777" w:rsidR="00CD5946" w:rsidRDefault="00CD5946">
          <w:pPr>
            <w:pStyle w:val="TOC2"/>
            <w:tabs>
              <w:tab w:val="clear" w:pos="9077"/>
              <w:tab w:val="right" w:leader="dot" w:pos="9359"/>
            </w:tabs>
          </w:pPr>
          <w:hyperlink w:anchor="__RefHeading___Toc9411_1729075678" w:tooltip="5. Equipment المعدّات">
            <w:r>
              <w:rPr>
                <w:rStyle w:val="IndexLink"/>
                <w:webHidden/>
              </w:rPr>
              <w:t>5. Equipment</w:t>
            </w:r>
            <w:r>
              <w:rPr>
                <w:rStyle w:val="IndexLink"/>
              </w:rPr>
              <w:t xml:space="preserve"> </w:t>
            </w:r>
            <w:r>
              <w:rPr>
                <w:rStyle w:val="IndexLink"/>
                <w:rtl/>
              </w:rPr>
              <w:t>المعدّات</w:t>
            </w:r>
            <w:r>
              <w:rPr>
                <w:rStyle w:val="IndexLink"/>
              </w:rPr>
              <w:tab/>
              <w:t>83</w:t>
            </w:r>
          </w:hyperlink>
        </w:p>
        <w:p w14:paraId="2E23B2A6" w14:textId="77777777" w:rsidR="00CD5946" w:rsidRDefault="00CD5946">
          <w:pPr>
            <w:pStyle w:val="TOC2"/>
            <w:tabs>
              <w:tab w:val="clear" w:pos="9077"/>
              <w:tab w:val="right" w:leader="dot" w:pos="9359"/>
            </w:tabs>
          </w:pPr>
          <w:hyperlink w:anchor="__RefHeading___Toc9413_1729075678" w:tooltip="6. Barrier technology تقنية الحواجز">
            <w:r>
              <w:rPr>
                <w:rStyle w:val="IndexLink"/>
                <w:webHidden/>
              </w:rPr>
              <w:t>6. Barrier technology</w:t>
            </w:r>
            <w:r>
              <w:rPr>
                <w:rStyle w:val="IndexLink"/>
              </w:rPr>
              <w:t xml:space="preserve"> </w:t>
            </w:r>
            <w:r>
              <w:rPr>
                <w:rStyle w:val="IndexLink"/>
                <w:rtl/>
              </w:rPr>
              <w:t>تقنية الحواجز</w:t>
            </w:r>
            <w:r>
              <w:rPr>
                <w:rStyle w:val="IndexLink"/>
              </w:rPr>
              <w:tab/>
              <w:t>83</w:t>
            </w:r>
          </w:hyperlink>
        </w:p>
        <w:p w14:paraId="2A895BE7" w14:textId="77777777" w:rsidR="00CD5946" w:rsidRDefault="00CD5946">
          <w:pPr>
            <w:pStyle w:val="TOC2"/>
            <w:tabs>
              <w:tab w:val="clear" w:pos="9077"/>
              <w:tab w:val="right" w:leader="dot" w:pos="9359"/>
            </w:tabs>
          </w:pPr>
          <w:hyperlink w:anchor="__RefHeading___Toc9415_1729075678" w:tooltip="7. Utilities المرافق">
            <w:r>
              <w:rPr>
                <w:rStyle w:val="IndexLink"/>
                <w:webHidden/>
              </w:rPr>
              <w:t>7. Utilities</w:t>
            </w:r>
            <w:r>
              <w:rPr>
                <w:rStyle w:val="IndexLink"/>
              </w:rPr>
              <w:t xml:space="preserve"> </w:t>
            </w:r>
            <w:r>
              <w:rPr>
                <w:rStyle w:val="IndexLink"/>
                <w:rtl/>
              </w:rPr>
              <w:t>المرافق</w:t>
            </w:r>
            <w:r>
              <w:rPr>
                <w:rStyle w:val="IndexLink"/>
              </w:rPr>
              <w:tab/>
              <w:t>84</w:t>
            </w:r>
          </w:hyperlink>
        </w:p>
        <w:p w14:paraId="72977F56" w14:textId="77777777" w:rsidR="00CD5946" w:rsidRDefault="00CD5946">
          <w:pPr>
            <w:pStyle w:val="TOC2"/>
            <w:tabs>
              <w:tab w:val="clear" w:pos="9077"/>
              <w:tab w:val="right" w:leader="dot" w:pos="9359"/>
            </w:tabs>
          </w:pPr>
          <w:hyperlink w:anchor="__RefHeading___Toc9417_1729075678" w:tooltip="8. Personnel الأفراد">
            <w:r>
              <w:rPr>
                <w:rStyle w:val="IndexLink"/>
                <w:webHidden/>
              </w:rPr>
              <w:t>8. Personnel</w:t>
            </w:r>
            <w:r>
              <w:rPr>
                <w:rStyle w:val="IndexLink"/>
              </w:rPr>
              <w:t xml:space="preserve"> </w:t>
            </w:r>
            <w:r>
              <w:rPr>
                <w:rStyle w:val="IndexLink"/>
                <w:rtl/>
              </w:rPr>
              <w:t>الأفراد</w:t>
            </w:r>
            <w:r>
              <w:rPr>
                <w:rStyle w:val="IndexLink"/>
              </w:rPr>
              <w:tab/>
              <w:t>85</w:t>
            </w:r>
          </w:hyperlink>
        </w:p>
        <w:p w14:paraId="38FCFEF4" w14:textId="77777777" w:rsidR="00CD5946" w:rsidRDefault="00CD5946">
          <w:pPr>
            <w:pStyle w:val="TOC2"/>
            <w:tabs>
              <w:tab w:val="clear" w:pos="9077"/>
              <w:tab w:val="right" w:leader="dot" w:pos="9359"/>
            </w:tabs>
          </w:pPr>
          <w:hyperlink w:anchor="__RefHeading___Toc9419_1729075678" w:tooltip="9. Production and specific technologies الإنتاج والتقنيات المحدّدة">
            <w:r>
              <w:rPr>
                <w:rStyle w:val="IndexLink"/>
                <w:webHidden/>
              </w:rPr>
              <w:t>9. Production and specific technologies</w:t>
            </w:r>
            <w:r>
              <w:rPr>
                <w:rStyle w:val="IndexLink"/>
              </w:rPr>
              <w:t xml:space="preserve"> </w:t>
            </w:r>
            <w:r>
              <w:rPr>
                <w:rStyle w:val="IndexLink"/>
                <w:rtl/>
              </w:rPr>
              <w:t>الإنتاج والتقنيات المحدّدة</w:t>
            </w:r>
            <w:r>
              <w:rPr>
                <w:rStyle w:val="IndexLink"/>
              </w:rPr>
              <w:tab/>
              <w:t>86</w:t>
            </w:r>
          </w:hyperlink>
        </w:p>
        <w:p w14:paraId="5CCDA218" w14:textId="77777777" w:rsidR="00CD5946" w:rsidRDefault="00CD5946">
          <w:pPr>
            <w:pStyle w:val="TOC2"/>
            <w:tabs>
              <w:tab w:val="clear" w:pos="9077"/>
              <w:tab w:val="right" w:leader="dot" w:pos="9359"/>
            </w:tabs>
          </w:pPr>
          <w:hyperlink w:anchor="__RefHeading___Toc9421_1729075678" w:tooltip="10. Environmental and process monitoring المراقبة البيئية ومراقبة العملية">
            <w:r>
              <w:rPr>
                <w:rStyle w:val="IndexLink"/>
                <w:webHidden/>
              </w:rPr>
              <w:t>10. Environmental and process monitoring</w:t>
            </w:r>
            <w:r>
              <w:rPr>
                <w:rStyle w:val="IndexLink"/>
              </w:rPr>
              <w:t xml:space="preserve"> </w:t>
            </w:r>
            <w:r>
              <w:rPr>
                <w:rStyle w:val="IndexLink"/>
                <w:rtl/>
              </w:rPr>
              <w:t>المراقبة البيئية ومراقبة العملية</w:t>
            </w:r>
            <w:r>
              <w:rPr>
                <w:rStyle w:val="IndexLink"/>
              </w:rPr>
              <w:tab/>
              <w:t>89</w:t>
            </w:r>
          </w:hyperlink>
        </w:p>
        <w:p w14:paraId="57D0492F" w14:textId="77777777" w:rsidR="00CD5946" w:rsidRDefault="00CD5946">
          <w:pPr>
            <w:pStyle w:val="TOC2"/>
            <w:tabs>
              <w:tab w:val="clear" w:pos="9077"/>
              <w:tab w:val="right" w:leader="dot" w:pos="9359"/>
            </w:tabs>
          </w:pPr>
          <w:hyperlink w:anchor="__RefHeading___Toc9423_1729075678" w:tooltip="11. Quality control مراقبة الجودة">
            <w:r>
              <w:rPr>
                <w:rStyle w:val="IndexLink"/>
                <w:webHidden/>
              </w:rPr>
              <w:t>11. Quality control</w:t>
            </w:r>
            <w:r>
              <w:rPr>
                <w:rStyle w:val="IndexLink"/>
              </w:rPr>
              <w:t xml:space="preserve"> </w:t>
            </w:r>
            <w:r>
              <w:rPr>
                <w:rStyle w:val="IndexLink"/>
                <w:rtl/>
              </w:rPr>
              <w:t>مراقبة الجودة</w:t>
            </w:r>
            <w:r>
              <w:rPr>
                <w:rStyle w:val="IndexLink"/>
              </w:rPr>
              <w:tab/>
              <w:t>90</w:t>
            </w:r>
          </w:hyperlink>
        </w:p>
        <w:p w14:paraId="6C948170" w14:textId="77777777" w:rsidR="00CD5946" w:rsidRDefault="00CD5946">
          <w:pPr>
            <w:pStyle w:val="TOC2"/>
            <w:tabs>
              <w:tab w:val="clear" w:pos="9077"/>
              <w:tab w:val="right" w:leader="dot" w:pos="9359"/>
            </w:tabs>
          </w:pPr>
          <w:hyperlink w:anchor="__RefHeading___Toc9425_1729075678" w:tooltip="12. Glossary (Annex 1) مسرد الملحق ⁦1⁩">
            <w:r>
              <w:rPr>
                <w:rStyle w:val="IndexLink"/>
                <w:webHidden/>
              </w:rPr>
              <w:t>12. Glossary (Annex 1)</w:t>
            </w:r>
            <w:r>
              <w:rPr>
                <w:rStyle w:val="IndexLink"/>
              </w:rPr>
              <w:t xml:space="preserve"> </w:t>
            </w:r>
            <w:r>
              <w:rPr>
                <w:rStyle w:val="IndexLink"/>
                <w:rtl/>
              </w:rPr>
              <w:t>مسرد الملحق ⁦</w:t>
            </w:r>
            <w:r>
              <w:rPr>
                <w:rStyle w:val="IndexLink"/>
              </w:rPr>
              <w:t>1⁩</w:t>
              <w:tab/>
              <w:t>90</w:t>
            </w:r>
          </w:hyperlink>
        </w:p>
        <w:p w14:paraId="18369F13" w14:textId="77777777" w:rsidR="00CD5946" w:rsidRDefault="00CD5946">
          <w:pPr>
            <w:pStyle w:val="TOC1"/>
            <w:tabs>
              <w:tab w:val="clear" w:pos="9360"/>
              <w:tab w:val="right" w:leader="dot" w:pos="9359"/>
            </w:tabs>
          </w:pPr>
          <w:hyperlink w:anchor="__RefHeading___Toc9427_1729075678" w:tooltip="Contents">
            <w:r>
              <w:rPr>
                <w:rStyle w:val="IndexLink"/>
                <w:webHidden/>
              </w:rPr>
              <w:t>Contents</w:t>
            </w:r>
            <w:r>
              <w:rPr>
                <w:rStyle w:val="IndexLink"/>
              </w:rPr>
              <w:tab/>
              <w:t>92</w:t>
            </w:r>
          </w:hyperlink>
        </w:p>
        <w:p w14:paraId="02815946"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webHidden/>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374A7CD7" w14:textId="77777777" w:rsidR="00CD5946" w:rsidRDefault="00CD5946">
          <w:pPr>
            <w:pStyle w:val="TOC2"/>
            <w:tabs>
              <w:tab w:val="clear" w:pos="9077"/>
              <w:tab w:val="right" w:leader="dot" w:pos="9359"/>
            </w:tabs>
          </w:pPr>
          <w:hyperlink w:anchor="__RefHeading___Toc9431_1729075678" w:tooltip="Part A — 1. Personnel الجزء أ — الأفراد">
            <w:r>
              <w:rPr>
                <w:rStyle w:val="IndexLink"/>
                <w:webHidden/>
              </w:rPr>
              <w:t>Part A — 1. Personnel</w:t>
            </w:r>
            <w:r>
              <w:rPr>
                <w:rStyle w:val="IndexLink"/>
              </w:rPr>
              <w:t xml:space="preserve"> </w:t>
            </w:r>
            <w:r>
              <w:rPr>
                <w:rStyle w:val="IndexLink"/>
                <w:rtl/>
              </w:rPr>
              <w:t>الجزء أ — الأفراد</w:t>
            </w:r>
            <w:r>
              <w:rPr>
                <w:rStyle w:val="IndexLink"/>
              </w:rPr>
              <w:tab/>
              <w:t>92</w:t>
            </w:r>
          </w:hyperlink>
        </w:p>
        <w:p w14:paraId="3FA4169B" w14:textId="77777777" w:rsidR="00CD5946" w:rsidRDefault="00CD5946">
          <w:pPr>
            <w:pStyle w:val="TOC2"/>
            <w:tabs>
              <w:tab w:val="clear" w:pos="9077"/>
              <w:tab w:val="right" w:leader="dot" w:pos="9359"/>
            </w:tabs>
          </w:pPr>
          <w:hyperlink w:anchor="__RefHeading___Toc9433_1729075678" w:tooltip="Part A — 2. Premises and equipment الجزء أ — المباني والمعدّات">
            <w:r>
              <w:rPr>
                <w:rStyle w:val="IndexLink"/>
                <w:webHidden/>
              </w:rPr>
              <w:t>Part A — 2. Premises and equipment</w:t>
            </w:r>
            <w:r>
              <w:rPr>
                <w:rStyle w:val="IndexLink"/>
              </w:rPr>
              <w:t xml:space="preserve"> </w:t>
            </w:r>
            <w:r>
              <w:rPr>
                <w:rStyle w:val="IndexLink"/>
                <w:rtl/>
              </w:rPr>
              <w:t>الجزء أ — المباني والمعدّات</w:t>
            </w:r>
            <w:r>
              <w:rPr>
                <w:rStyle w:val="IndexLink"/>
              </w:rPr>
              <w:tab/>
              <w:t>92</w:t>
            </w:r>
          </w:hyperlink>
        </w:p>
        <w:p w14:paraId="15040244" w14:textId="77777777" w:rsidR="00CD5946" w:rsidRDefault="00CD5946">
          <w:pPr>
            <w:pStyle w:val="TOC2"/>
            <w:tabs>
              <w:tab w:val="clear" w:pos="9077"/>
              <w:tab w:val="right" w:leader="dot" w:pos="9359"/>
            </w:tabs>
          </w:pPr>
          <w:hyperlink w:anchor="__RefHeading___Toc9435_1729075678" w:tooltip="Part A — 3. Seed lots and cell banks الجزء أ — البذور وبنوك الخلايا">
            <w:r>
              <w:rPr>
                <w:rStyle w:val="IndexLink"/>
                <w:webHidden/>
              </w:rPr>
              <w:t>Part A — 3. Seed lots and cell banks</w:t>
            </w:r>
            <w:r>
              <w:rPr>
                <w:rStyle w:val="IndexLink"/>
              </w:rPr>
              <w:t xml:space="preserve"> </w:t>
            </w:r>
            <w:r>
              <w:rPr>
                <w:rStyle w:val="IndexLink"/>
                <w:rtl/>
              </w:rPr>
              <w:t>الجزء أ — البذور وبنوك الخلايا</w:t>
            </w:r>
            <w:r>
              <w:rPr>
                <w:rStyle w:val="IndexLink"/>
              </w:rPr>
              <w:tab/>
              <w:t>92</w:t>
            </w:r>
          </w:hyperlink>
        </w:p>
        <w:p w14:paraId="55D7A8E5" w14:textId="77777777" w:rsidR="00CD5946" w:rsidRDefault="00CD5946">
          <w:pPr>
            <w:pStyle w:val="TOC2"/>
            <w:tabs>
              <w:tab w:val="clear" w:pos="9077"/>
              <w:tab w:val="right" w:leader="dot" w:pos="9359"/>
            </w:tabs>
          </w:pPr>
          <w:hyperlink w:anchor="__RefHeading___Toc9437_1729075678" w:tooltip="Part A — 4. Starting and raw materials الجزء أ — المواد الأولية والخام">
            <w:r>
              <w:rPr>
                <w:rStyle w:val="IndexLink"/>
                <w:webHidden/>
              </w:rPr>
              <w:t>Part A — 4. Starting and raw materials</w:t>
            </w:r>
            <w:r>
              <w:rPr>
                <w:rStyle w:val="IndexLink"/>
              </w:rPr>
              <w:t xml:space="preserve"> </w:t>
            </w:r>
            <w:r>
              <w:rPr>
                <w:rStyle w:val="IndexLink"/>
                <w:rtl/>
              </w:rPr>
              <w:t>الجزء أ — المواد الأولية والخام</w:t>
            </w:r>
            <w:r>
              <w:rPr>
                <w:rStyle w:val="IndexLink"/>
              </w:rPr>
              <w:tab/>
              <w:t>92</w:t>
            </w:r>
          </w:hyperlink>
        </w:p>
        <w:p w14:paraId="4D7729E4" w14:textId="77777777" w:rsidR="00CD5946" w:rsidRDefault="00CD5946">
          <w:pPr>
            <w:pStyle w:val="TOC2"/>
            <w:tabs>
              <w:tab w:val="clear" w:pos="9077"/>
              <w:tab w:val="right" w:leader="dot" w:pos="9359"/>
            </w:tabs>
          </w:pPr>
          <w:hyperlink w:anchor="__RefHeading___Toc9439_1729075678" w:tooltip="Part A — 5. Production and manufacturing operations الجزء أ — الإنتاج وعمليات التصنيع">
            <w:r>
              <w:rPr>
                <w:rStyle w:val="IndexLink"/>
                <w:webHidden/>
              </w:rPr>
              <w:t>Part A — 5. Production and manufacturing operations</w:t>
            </w:r>
            <w:r>
              <w:rPr>
                <w:rStyle w:val="IndexLink"/>
              </w:rPr>
              <w:t xml:space="preserve"> </w:t>
            </w:r>
            <w:r>
              <w:rPr>
                <w:rStyle w:val="IndexLink"/>
                <w:rtl/>
              </w:rPr>
              <w:t>الجزء أ — الإنتاج وعمليات التصنيع</w:t>
            </w:r>
            <w:r>
              <w:rPr>
                <w:rStyle w:val="IndexLink"/>
              </w:rPr>
              <w:tab/>
              <w:t>97</w:t>
            </w:r>
          </w:hyperlink>
        </w:p>
        <w:p w14:paraId="6F8EDB5A" w14:textId="77777777" w:rsidR="00CD5946" w:rsidRDefault="00CD5946">
          <w:pPr>
            <w:pStyle w:val="TOC2"/>
            <w:tabs>
              <w:tab w:val="clear" w:pos="9077"/>
              <w:tab w:val="right" w:leader="dot" w:pos="9359"/>
            </w:tabs>
          </w:pPr>
          <w:hyperlink w:anchor="__RefHeading___Toc9441_1729075678" w:tooltip="Part A — 6. Quality control and comparability الجزء أ — مراقبة الجودة والقابلية للمقارنة">
            <w:r>
              <w:rPr>
                <w:rStyle w:val="IndexLink"/>
                <w:webHidden/>
              </w:rPr>
              <w:t>Part A — 6. Quality control and comparability</w:t>
            </w:r>
            <w:r>
              <w:rPr>
                <w:rStyle w:val="IndexLink"/>
              </w:rPr>
              <w:t xml:space="preserve"> </w:t>
            </w:r>
            <w:r>
              <w:rPr>
                <w:rStyle w:val="IndexLink"/>
                <w:rtl/>
              </w:rPr>
              <w:t>الجزء أ — مراقبة الجودة والقابلية للمقارنة</w:t>
            </w:r>
            <w:r>
              <w:rPr>
                <w:rStyle w:val="IndexLink"/>
              </w:rPr>
              <w:tab/>
              <w:t>97</w:t>
            </w:r>
          </w:hyperlink>
        </w:p>
        <w:p w14:paraId="56820F7E" w14:textId="77777777" w:rsidR="00CD5946" w:rsidRDefault="00CD5946">
          <w:pPr>
            <w:pStyle w:val="TOC2"/>
            <w:tabs>
              <w:tab w:val="clear" w:pos="9077"/>
              <w:tab w:val="right" w:leader="dot" w:pos="9359"/>
            </w:tabs>
          </w:pPr>
          <w:hyperlink w:anchor="__RefHeading___Toc9443_1729075678" w:tooltip="Part B — 7. Specific guidance on selected product types الجزء ب — إرشاد محدّد لأنواع مختارة">
            <w:r>
              <w:rPr>
                <w:rStyle w:val="IndexLink"/>
                <w:webHidden/>
              </w:rPr>
              <w:t>Part B — 7. Specific guidance on selected product types</w:t>
            </w:r>
            <w:r>
              <w:rPr>
                <w:rStyle w:val="IndexLink"/>
              </w:rPr>
              <w:t xml:space="preserve"> </w:t>
            </w:r>
            <w:r>
              <w:rPr>
                <w:rStyle w:val="IndexLink"/>
                <w:rtl/>
              </w:rPr>
              <w:t>الجزء ب — إرشاد محدّد لأنواع مختارة</w:t>
            </w:r>
            <w:r>
              <w:rPr>
                <w:rStyle w:val="IndexLink"/>
              </w:rPr>
              <w:tab/>
              <w:t>98</w:t>
            </w:r>
          </w:hyperlink>
        </w:p>
        <w:p w14:paraId="56994218" w14:textId="77777777" w:rsidR="00CD5946" w:rsidRDefault="00CD5946">
          <w:pPr>
            <w:pStyle w:val="TOC2"/>
            <w:tabs>
              <w:tab w:val="clear" w:pos="9077"/>
              <w:tab w:val="right" w:leader="dot" w:pos="9359"/>
            </w:tabs>
          </w:pPr>
          <w:hyperlink w:anchor="__RefHeading___Toc9445_1729075678" w:tooltip="8. Glossary (Annex 2B) مسرد الملحق ⁦2⁩ب">
            <w:r>
              <w:rPr>
                <w:rStyle w:val="IndexLink"/>
                <w:webHidden/>
              </w:rPr>
              <w:t>8. Glossary (Annex 2B)</w:t>
            </w:r>
            <w:r>
              <w:rPr>
                <w:rStyle w:val="IndexLink"/>
              </w:rPr>
              <w:t xml:space="preserve"> </w:t>
            </w:r>
            <w:r>
              <w:rPr>
                <w:rStyle w:val="IndexLink"/>
                <w:rtl/>
              </w:rPr>
              <w:t>مسرد الملحق ⁦</w:t>
            </w:r>
            <w:r>
              <w:rPr>
                <w:rStyle w:val="IndexLink"/>
              </w:rPr>
              <w:t>2</w:t>
            </w:r>
            <w:r>
              <w:rPr>
                <w:rStyle w:val="IndexLink"/>
                <w:rtl/>
              </w:rPr>
              <w:t>⁩أ</w:t>
            </w:r>
            <w:r>
              <w:rPr>
                <w:rStyle w:val="IndexLink"/>
              </w:rPr>
              <w:tab/>
              <w:t>98</w:t>
            </w:r>
          </w:hyperlink>
        </w:p>
        <w:p w14:paraId="50896D15" w14:textId="77777777" w:rsidR="00CD5946" w:rsidRDefault="00CD5946">
          <w:pPr>
            <w:pStyle w:val="TOC1"/>
            <w:tabs>
              <w:tab w:val="clear" w:pos="9360"/>
              <w:tab w:val="right" w:leader="dot" w:pos="9359"/>
            </w:tabs>
          </w:pPr>
          <w:hyperlink w:anchor="__RefHeading___Toc9447_1729075678" w:tooltip="Contents">
            <w:r>
              <w:rPr>
                <w:rStyle w:val="IndexLink"/>
                <w:webHidden/>
              </w:rPr>
              <w:t>Contents</w:t>
            </w:r>
            <w:r>
              <w:rPr>
                <w:rStyle w:val="IndexLink"/>
              </w:rPr>
              <w:tab/>
              <w:t>100</w:t>
            </w:r>
          </w:hyperlink>
        </w:p>
        <w:p w14:paraId="432A9AB7"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webHidden/>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547E4163" w14:textId="77777777" w:rsidR="00CD5946" w:rsidRDefault="00CD5946">
          <w:pPr>
            <w:pStyle w:val="TOC2"/>
            <w:tabs>
              <w:tab w:val="clear" w:pos="9077"/>
              <w:tab w:val="right" w:leader="dot" w:pos="9359"/>
            </w:tabs>
          </w:pPr>
          <w:hyperlink w:anchor="__RefHeading___Toc9451_1729075678" w:tooltip="1. Segregation, animal sourcing and inactivation العزل والمصدر الحيواني والتعطيل">
            <w:r>
              <w:rPr>
                <w:rStyle w:val="IndexLink"/>
                <w:webHidden/>
              </w:rPr>
              <w:t>1. Segregation, animal sourcing and inactivation</w:t>
            </w:r>
            <w:r>
              <w:rPr>
                <w:rStyle w:val="IndexLink"/>
              </w:rPr>
              <w:t xml:space="preserve"> </w:t>
            </w:r>
            <w:r>
              <w:rPr>
                <w:rStyle w:val="IndexLink"/>
                <w:rtl/>
              </w:rPr>
              <w:t>العزل والمصدر الحيواني والتعطيل</w:t>
            </w:r>
            <w:r>
              <w:rPr>
                <w:rStyle w:val="IndexLink"/>
              </w:rPr>
              <w:tab/>
              <w:t>103</w:t>
            </w:r>
          </w:hyperlink>
        </w:p>
        <w:p w14:paraId="0A9F43D1" w14:textId="77777777" w:rsidR="00CD5946" w:rsidRDefault="00CD5946">
          <w:pPr>
            <w:pStyle w:val="TOC2"/>
            <w:tabs>
              <w:tab w:val="clear" w:pos="9077"/>
              <w:tab w:val="right" w:leader="dot" w:pos="9359"/>
            </w:tabs>
          </w:pPr>
          <w:hyperlink w:anchor="__RefHeading___Toc9453_1729075678" w:tooltip="2. Glossary (Annex A-TBP) مسرد الملحق A-TBP">
            <w:r>
              <w:rPr>
                <w:rStyle w:val="IndexLink"/>
                <w:webHidden/>
              </w:rPr>
              <w:t>2. Glossary (Annex A-TBP)</w:t>
            </w:r>
            <w:r>
              <w:rPr>
                <w:rStyle w:val="IndexLink"/>
              </w:rPr>
              <w:t xml:space="preserve"> </w:t>
            </w:r>
            <w:r>
              <w:rPr>
                <w:rStyle w:val="IndexLink"/>
                <w:rtl/>
              </w:rPr>
              <w:t>مسرد الملحق ⁦</w:t>
            </w:r>
            <w:r>
              <w:rPr>
                <w:rStyle w:val="IndexLink"/>
              </w:rPr>
              <w:t>2</w:t>
            </w:r>
            <w:r>
              <w:rPr>
                <w:rStyle w:val="IndexLink"/>
                <w:rtl/>
              </w:rPr>
              <w:t>⁩ب</w:t>
            </w:r>
            <w:r>
              <w:rPr>
                <w:rStyle w:val="IndexLink"/>
              </w:rPr>
              <w:tab/>
              <w:t>103</w:t>
            </w:r>
          </w:hyperlink>
        </w:p>
        <w:p w14:paraId="1AF95C08" w14:textId="77777777" w:rsidR="00CD5946" w:rsidRDefault="00CD5946">
          <w:pPr>
            <w:pStyle w:val="TOC1"/>
            <w:tabs>
              <w:tab w:val="clear" w:pos="9360"/>
              <w:tab w:val="right" w:leader="dot" w:pos="9359"/>
            </w:tabs>
          </w:pPr>
          <w:hyperlink w:anchor="__RefHeading___Toc9455_1729075678" w:tooltip="Contents">
            <w:r>
              <w:rPr>
                <w:rStyle w:val="IndexLink"/>
                <w:webHidden/>
              </w:rPr>
              <w:t>Contents</w:t>
            </w:r>
            <w:r>
              <w:rPr>
                <w:rStyle w:val="IndexLink"/>
              </w:rPr>
              <w:tab/>
              <w:t>105</w:t>
            </w:r>
          </w:hyperlink>
        </w:p>
        <w:p w14:paraId="6B4C4DBC"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webHidden/>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694F134A" w14:textId="77777777" w:rsidR="00CD5946" w:rsidRDefault="00CD5946">
          <w:pPr>
            <w:pStyle w:val="TOC2"/>
            <w:tabs>
              <w:tab w:val="clear" w:pos="9077"/>
              <w:tab w:val="right" w:leader="dot" w:pos="9359"/>
            </w:tabs>
          </w:pPr>
          <w:hyperlink w:anchor="__RefHeading___Toc9459_1729075678" w:tooltip="1. The reference product المنتج المرجعي">
            <w:r>
              <w:rPr>
                <w:rStyle w:val="IndexLink"/>
                <w:webHidden/>
              </w:rPr>
              <w:t>1. The reference product</w:t>
            </w:r>
            <w:r>
              <w:rPr>
                <w:rStyle w:val="IndexLink"/>
              </w:rPr>
              <w:t xml:space="preserve"> </w:t>
            </w:r>
            <w:r>
              <w:rPr>
                <w:rStyle w:val="IndexLink"/>
                <w:rtl/>
              </w:rPr>
              <w:t>المنتج المرجعي</w:t>
            </w:r>
            <w:r>
              <w:rPr>
                <w:rStyle w:val="IndexLink"/>
              </w:rPr>
              <w:tab/>
              <w:t>108</w:t>
            </w:r>
          </w:hyperlink>
        </w:p>
        <w:p w14:paraId="19A3F09A" w14:textId="77777777" w:rsidR="00CD5946" w:rsidRDefault="00CD5946">
          <w:pPr>
            <w:pStyle w:val="TOC2"/>
            <w:tabs>
              <w:tab w:val="clear" w:pos="9077"/>
              <w:tab w:val="right" w:leader="dot" w:pos="9359"/>
            </w:tabs>
          </w:pPr>
          <w:hyperlink w:anchor="__RefHeading___Toc9461_1729075678" w:tooltip="2. Quality (analytical) comparability القابلية للمقارنة التحليلية">
            <w:r>
              <w:rPr>
                <w:rStyle w:val="IndexLink"/>
                <w:webHidden/>
              </w:rPr>
              <w:t>2. Quality (analytical) comparability</w:t>
            </w:r>
            <w:r>
              <w:rPr>
                <w:rStyle w:val="IndexLink"/>
              </w:rPr>
              <w:t xml:space="preserve"> </w:t>
            </w:r>
            <w:r>
              <w:rPr>
                <w:rStyle w:val="IndexLink"/>
                <w:rtl/>
              </w:rPr>
              <w:t>القابلية للمقارنة التحليلية</w:t>
            </w:r>
            <w:r>
              <w:rPr>
                <w:rStyle w:val="IndexLink"/>
              </w:rPr>
              <w:tab/>
              <w:t>108</w:t>
            </w:r>
          </w:hyperlink>
        </w:p>
        <w:p w14:paraId="4151FAF1" w14:textId="77777777" w:rsidR="00CD5946" w:rsidRDefault="00CD5946">
          <w:pPr>
            <w:pStyle w:val="TOC2"/>
            <w:tabs>
              <w:tab w:val="clear" w:pos="9077"/>
              <w:tab w:val="right" w:leader="dot" w:pos="9359"/>
            </w:tabs>
          </w:pPr>
          <w:hyperlink w:anchor="__RefHeading___Toc9463_1729075678" w:tooltip="3. Manufacturing process and control strategy العملية واستراتيجية الضبط">
            <w:r>
              <w:rPr>
                <w:rStyle w:val="IndexLink"/>
                <w:webHidden/>
              </w:rPr>
              <w:t>3. Manufacturing process and control strategy</w:t>
            </w:r>
            <w:r>
              <w:rPr>
                <w:rStyle w:val="IndexLink"/>
              </w:rPr>
              <w:t xml:space="preserve"> </w:t>
            </w:r>
            <w:r>
              <w:rPr>
                <w:rStyle w:val="IndexLink"/>
                <w:rtl/>
              </w:rPr>
              <w:t>العملية واستراتيجية الضبط</w:t>
            </w:r>
            <w:r>
              <w:rPr>
                <w:rStyle w:val="IndexLink"/>
              </w:rPr>
              <w:tab/>
              <w:t>108</w:t>
            </w:r>
          </w:hyperlink>
        </w:p>
        <w:p w14:paraId="0114D5D5" w14:textId="77777777" w:rsidR="00CD5946" w:rsidRDefault="00CD5946">
          <w:pPr>
            <w:pStyle w:val="TOC2"/>
            <w:tabs>
              <w:tab w:val="clear" w:pos="9077"/>
              <w:tab w:val="right" w:leader="dot" w:pos="9359"/>
            </w:tabs>
          </w:pPr>
          <w:hyperlink w:anchor="__RefHeading___Toc9465_1729075678" w:tooltip="4. Non-clinical and clinical comparability المقارنة غير السريرية والسريرية">
            <w:r>
              <w:rPr>
                <w:rStyle w:val="IndexLink"/>
                <w:webHidden/>
              </w:rPr>
              <w:t>4. Non-clinical and clinical comparability</w:t>
            </w:r>
            <w:r>
              <w:rPr>
                <w:rStyle w:val="IndexLink"/>
              </w:rPr>
              <w:t xml:space="preserve"> </w:t>
            </w:r>
            <w:r>
              <w:rPr>
                <w:rStyle w:val="IndexLink"/>
                <w:rtl/>
              </w:rPr>
              <w:t>المقارنة غير السريرية والسريرية</w:t>
            </w:r>
            <w:r>
              <w:rPr>
                <w:rStyle w:val="IndexLink"/>
              </w:rPr>
              <w:tab/>
              <w:t>108</w:t>
            </w:r>
          </w:hyperlink>
        </w:p>
        <w:p w14:paraId="175BFD89" w14:textId="77777777" w:rsidR="00CD5946" w:rsidRDefault="00CD5946">
          <w:pPr>
            <w:pStyle w:val="TOC2"/>
            <w:tabs>
              <w:tab w:val="clear" w:pos="9077"/>
              <w:tab w:val="right" w:leader="dot" w:pos="9359"/>
            </w:tabs>
          </w:pPr>
          <w:hyperlink w:anchor="__RefHeading___Toc9467_1729075678" w:tooltip="5. Immunogenicity, pharmacovigilance, naming and labelling المناعية والتيقّظ الدوائي والتسمية والوسم">
            <w:r>
              <w:rPr>
                <w:rStyle w:val="IndexLink"/>
                <w:webHidden/>
              </w:rPr>
              <w:t>5. Immunogenicity, pharmacovigilance, naming and labelling</w:t>
            </w:r>
            <w:r>
              <w:rPr>
                <w:rStyle w:val="IndexLink"/>
              </w:rPr>
              <w:t xml:space="preserve"> </w:t>
            </w:r>
            <w:r>
              <w:rPr>
                <w:rStyle w:val="IndexLink"/>
                <w:rtl/>
              </w:rPr>
              <w:t>المناعية والتيقّظ الدوائي والتسمية والوسم</w:t>
            </w:r>
            <w:r>
              <w:rPr>
                <w:rStyle w:val="IndexLink"/>
              </w:rPr>
              <w:tab/>
              <w:t>109</w:t>
            </w:r>
          </w:hyperlink>
        </w:p>
        <w:p w14:paraId="3F1A2A3E" w14:textId="77777777" w:rsidR="00CD5946" w:rsidRDefault="00CD5946">
          <w:pPr>
            <w:pStyle w:val="TOC2"/>
            <w:tabs>
              <w:tab w:val="clear" w:pos="9077"/>
              <w:tab w:val="right" w:leader="dot" w:pos="9359"/>
            </w:tabs>
          </w:pPr>
          <w:hyperlink w:anchor="__RefHeading___Toc9469_1729075678" w:tooltip="6. Glossary (Annex A-BIO) مسرد الملحق A-BIO">
            <w:r>
              <w:rPr>
                <w:rStyle w:val="IndexLink"/>
                <w:webHidden/>
              </w:rPr>
              <w:t>6. Glossary (Annex A-BIO)</w:t>
            </w:r>
            <w:r>
              <w:rPr>
                <w:rStyle w:val="IndexLink"/>
              </w:rPr>
              <w:t xml:space="preserve"> </w:t>
            </w:r>
            <w:r>
              <w:rPr>
                <w:rStyle w:val="IndexLink"/>
                <w:rtl/>
              </w:rPr>
              <w:t>مسرد الملحق</w:t>
            </w:r>
            <w:r>
              <w:rPr>
                <w:rStyle w:val="IndexLink"/>
              </w:rPr>
              <w:t xml:space="preserve"> A-BIO</w:t>
              <w:tab/>
              <w:t>109</w:t>
            </w:r>
          </w:hyperlink>
        </w:p>
        <w:p w14:paraId="69D357B6" w14:textId="77777777" w:rsidR="00CD5946" w:rsidRDefault="00CD5946">
          <w:pPr>
            <w:pStyle w:val="TOC1"/>
            <w:tabs>
              <w:tab w:val="clear" w:pos="9360"/>
              <w:tab w:val="right" w:leader="dot" w:pos="9359"/>
            </w:tabs>
          </w:pPr>
          <w:hyperlink w:anchor="__RefHeading___Toc9471_1729075678" w:tooltip="Contents">
            <w:r>
              <w:rPr>
                <w:rStyle w:val="IndexLink"/>
                <w:webHidden/>
              </w:rPr>
              <w:t>Contents</w:t>
            </w:r>
            <w:r>
              <w:rPr>
                <w:rStyle w:val="IndexLink"/>
              </w:rPr>
              <w:tab/>
              <w:t>111</w:t>
            </w:r>
          </w:hyperlink>
        </w:p>
        <w:p w14:paraId="6BD8D8B3"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webHidden/>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78FE4755" w14:textId="77777777" w:rsidR="00CD5946" w:rsidRDefault="00CD5946">
          <w:pPr>
            <w:pStyle w:val="TOC2"/>
            <w:tabs>
              <w:tab w:val="clear" w:pos="9077"/>
              <w:tab w:val="right" w:leader="dot" w:pos="9359"/>
            </w:tabs>
          </w:pPr>
          <w:hyperlink w:anchor="__RefHeading___Toc9475_1729075678" w:tooltip="1. Premises, production and protection المباني والإنتاج والوقاية">
            <w:r>
              <w:rPr>
                <w:rStyle w:val="IndexLink"/>
                <w:webHidden/>
              </w:rPr>
              <w:t>1. Premises, production and protection</w:t>
            </w:r>
            <w:r>
              <w:rPr>
                <w:rStyle w:val="IndexLink"/>
              </w:rPr>
              <w:t xml:space="preserve"> </w:t>
            </w:r>
            <w:r>
              <w:rPr>
                <w:rStyle w:val="IndexLink"/>
                <w:rtl/>
              </w:rPr>
              <w:t>المباني والإنتاج والوقاية</w:t>
            </w:r>
            <w:r>
              <w:rPr>
                <w:rStyle w:val="IndexLink"/>
              </w:rPr>
              <w:tab/>
              <w:t>114</w:t>
            </w:r>
          </w:hyperlink>
        </w:p>
        <w:p w14:paraId="4E036EE8" w14:textId="77777777" w:rsidR="00CD5946" w:rsidRDefault="00CD5946">
          <w:pPr>
            <w:pStyle w:val="TOC2"/>
            <w:tabs>
              <w:tab w:val="clear" w:pos="9077"/>
              <w:tab w:val="right" w:leader="dot" w:pos="9359"/>
            </w:tabs>
          </w:pPr>
          <w:hyperlink w:anchor="__RefHeading___Toc9477_1729075678" w:tooltip="2. Glossary (Annex 3) مسرد الملحق ⁦3⁩">
            <w:r>
              <w:rPr>
                <w:rStyle w:val="IndexLink"/>
                <w:webHidden/>
              </w:rPr>
              <w:t>2. Glossary (Annex 3)</w:t>
            </w:r>
            <w:r>
              <w:rPr>
                <w:rStyle w:val="IndexLink"/>
              </w:rPr>
              <w:t xml:space="preserve"> </w:t>
            </w:r>
            <w:r>
              <w:rPr>
                <w:rStyle w:val="IndexLink"/>
                <w:rtl/>
              </w:rPr>
              <w:t>مسرد الملحق ⁦</w:t>
            </w:r>
            <w:r>
              <w:rPr>
                <w:rStyle w:val="IndexLink"/>
              </w:rPr>
              <w:t>3⁩</w:t>
              <w:tab/>
              <w:t>114</w:t>
            </w:r>
          </w:hyperlink>
        </w:p>
        <w:p w14:paraId="74C28AD4" w14:textId="77777777" w:rsidR="00CD5946" w:rsidRDefault="00CD5946">
          <w:pPr>
            <w:pStyle w:val="TOC1"/>
            <w:tabs>
              <w:tab w:val="clear" w:pos="9360"/>
              <w:tab w:val="right" w:leader="dot" w:pos="9359"/>
            </w:tabs>
          </w:pPr>
          <w:hyperlink w:anchor="__RefHeading___Toc9479_1729075678" w:tooltip="Contents">
            <w:r>
              <w:rPr>
                <w:rStyle w:val="IndexLink"/>
                <w:webHidden/>
              </w:rPr>
              <w:t>Contents</w:t>
            </w:r>
            <w:r>
              <w:rPr>
                <w:rStyle w:val="IndexLink"/>
              </w:rPr>
              <w:tab/>
              <w:t>116</w:t>
            </w:r>
          </w:hyperlink>
        </w:p>
        <w:p w14:paraId="6654CAF8"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webHidden/>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5DFB71EB" w14:textId="77777777" w:rsidR="00CD5946" w:rsidRDefault="00CD5946">
          <w:pPr>
            <w:pStyle w:val="TOC2"/>
            <w:tabs>
              <w:tab w:val="clear" w:pos="9077"/>
              <w:tab w:val="right" w:leader="dot" w:pos="9359"/>
            </w:tabs>
          </w:pPr>
          <w:hyperlink w:anchor="__RefHeading___Toc9483_1729075678" w:tooltip="1. Cylinder control and filling ضبط الأسطوانات والتعبئة">
            <w:r>
              <w:rPr>
                <w:rStyle w:val="IndexLink"/>
                <w:webHidden/>
              </w:rPr>
              <w:t>1. Cylinder control and filling</w:t>
            </w:r>
            <w:r>
              <w:rPr>
                <w:rStyle w:val="IndexLink"/>
              </w:rPr>
              <w:t xml:space="preserve"> </w:t>
            </w:r>
            <w:r>
              <w:rPr>
                <w:rStyle w:val="IndexLink"/>
                <w:rtl/>
              </w:rPr>
              <w:t>ضبط الأسطوانات والتعبئة</w:t>
            </w:r>
            <w:r>
              <w:rPr>
                <w:rStyle w:val="IndexLink"/>
              </w:rPr>
              <w:tab/>
              <w:t>119</w:t>
            </w:r>
          </w:hyperlink>
        </w:p>
        <w:p w14:paraId="124E3ECF" w14:textId="77777777" w:rsidR="00CD5946" w:rsidRDefault="00CD5946">
          <w:pPr>
            <w:pStyle w:val="TOC2"/>
            <w:tabs>
              <w:tab w:val="clear" w:pos="9077"/>
              <w:tab w:val="right" w:leader="dot" w:pos="9359"/>
            </w:tabs>
          </w:pPr>
          <w:hyperlink w:anchor="__RefHeading___Toc9485_1729075678" w:tooltip="2. Glossary (Annex 6) مسرد الملحق ⁦6⁩">
            <w:r>
              <w:rPr>
                <w:rStyle w:val="IndexLink"/>
                <w:webHidden/>
              </w:rPr>
              <w:t>2. Glossary (Annex 6)</w:t>
            </w:r>
            <w:r>
              <w:rPr>
                <w:rStyle w:val="IndexLink"/>
              </w:rPr>
              <w:t xml:space="preserve"> </w:t>
            </w:r>
            <w:r>
              <w:rPr>
                <w:rStyle w:val="IndexLink"/>
                <w:rtl/>
              </w:rPr>
              <w:t>مسرد الملحق ⁦</w:t>
            </w:r>
            <w:r>
              <w:rPr>
                <w:rStyle w:val="IndexLink"/>
              </w:rPr>
              <w:t>6⁩</w:t>
              <w:tab/>
              <w:t>119</w:t>
            </w:r>
          </w:hyperlink>
        </w:p>
        <w:p w14:paraId="5ECC3708" w14:textId="77777777" w:rsidR="00CD5946" w:rsidRDefault="00CD5946">
          <w:pPr>
            <w:pStyle w:val="TOC1"/>
            <w:tabs>
              <w:tab w:val="clear" w:pos="9360"/>
              <w:tab w:val="right" w:leader="dot" w:pos="9359"/>
            </w:tabs>
          </w:pPr>
          <w:hyperlink w:anchor="__RefHeading___Toc9487_1729075678" w:tooltip="Contents">
            <w:r>
              <w:rPr>
                <w:rStyle w:val="IndexLink"/>
                <w:webHidden/>
              </w:rPr>
              <w:t>Contents</w:t>
            </w:r>
            <w:r>
              <w:rPr>
                <w:rStyle w:val="IndexLink"/>
              </w:rPr>
              <w:tab/>
              <w:t>121</w:t>
            </w:r>
          </w:hyperlink>
        </w:p>
        <w:p w14:paraId="5B6811B6"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webHidden/>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427C4ADC" w14:textId="77777777" w:rsidR="00CD5946" w:rsidRDefault="00CD5946">
          <w:pPr>
            <w:pStyle w:val="TOC2"/>
            <w:tabs>
              <w:tab w:val="clear" w:pos="9077"/>
              <w:tab w:val="right" w:leader="dot" w:pos="9359"/>
            </w:tabs>
          </w:pPr>
          <w:hyperlink w:anchor="__RefHeading___Toc9491_1729075678" w:tooltip="1. Premises and storage المباني والتخزين">
            <w:r>
              <w:rPr>
                <w:rStyle w:val="IndexLink"/>
                <w:webHidden/>
              </w:rPr>
              <w:t>1. Premises and storage</w:t>
            </w:r>
            <w:r>
              <w:rPr>
                <w:rStyle w:val="IndexLink"/>
              </w:rPr>
              <w:t xml:space="preserve"> </w:t>
            </w:r>
            <w:r>
              <w:rPr>
                <w:rStyle w:val="IndexLink"/>
                <w:rtl/>
              </w:rPr>
              <w:t>المباني والتخزين</w:t>
            </w:r>
            <w:r>
              <w:rPr>
                <w:rStyle w:val="IndexLink"/>
              </w:rPr>
              <w:tab/>
              <w:t>124</w:t>
            </w:r>
          </w:hyperlink>
        </w:p>
        <w:p w14:paraId="3550A84C" w14:textId="77777777" w:rsidR="00CD5946" w:rsidRDefault="00CD5946">
          <w:pPr>
            <w:pStyle w:val="TOC2"/>
            <w:tabs>
              <w:tab w:val="clear" w:pos="9077"/>
              <w:tab w:val="right" w:leader="dot" w:pos="9359"/>
            </w:tabs>
          </w:pPr>
          <w:hyperlink w:anchor="__RefHeading___Toc9493_1729075678" w:tooltip="2. Documentation and starting materials التوثيق والمواد الأولية">
            <w:r>
              <w:rPr>
                <w:rStyle w:val="IndexLink"/>
                <w:webHidden/>
              </w:rPr>
              <w:t>2. Documentation and starting materials</w:t>
            </w:r>
            <w:r>
              <w:rPr>
                <w:rStyle w:val="IndexLink"/>
              </w:rPr>
              <w:t xml:space="preserve"> </w:t>
            </w:r>
            <w:r>
              <w:rPr>
                <w:rStyle w:val="IndexLink"/>
                <w:rtl/>
              </w:rPr>
              <w:t>التوثيق والمواد الأولية</w:t>
            </w:r>
            <w:r>
              <w:rPr>
                <w:rStyle w:val="IndexLink"/>
              </w:rPr>
              <w:tab/>
              <w:t>124</w:t>
            </w:r>
          </w:hyperlink>
        </w:p>
        <w:p w14:paraId="7255454C" w14:textId="77777777" w:rsidR="00CD5946" w:rsidRDefault="00CD5946">
          <w:pPr>
            <w:pStyle w:val="TOC2"/>
            <w:tabs>
              <w:tab w:val="clear" w:pos="9077"/>
              <w:tab w:val="right" w:leader="dot" w:pos="9359"/>
            </w:tabs>
          </w:pPr>
          <w:hyperlink w:anchor="__RefHeading___Toc9495_1729075678" w:tooltip="3. Quality control and contaminants مراقبة الجودة والملوّثات">
            <w:r>
              <w:rPr>
                <w:rStyle w:val="IndexLink"/>
                <w:webHidden/>
              </w:rPr>
              <w:t>3. Quality control and contaminants</w:t>
            </w:r>
            <w:r>
              <w:rPr>
                <w:rStyle w:val="IndexLink"/>
              </w:rPr>
              <w:t xml:space="preserve"> </w:t>
            </w:r>
            <w:r>
              <w:rPr>
                <w:rStyle w:val="IndexLink"/>
                <w:rtl/>
              </w:rPr>
              <w:t>مراقبة الجودة والملوّثات</w:t>
            </w:r>
            <w:r>
              <w:rPr>
                <w:rStyle w:val="IndexLink"/>
              </w:rPr>
              <w:tab/>
              <w:t>124</w:t>
            </w:r>
          </w:hyperlink>
        </w:p>
        <w:p w14:paraId="4C505EB5" w14:textId="77777777" w:rsidR="00CD5946" w:rsidRDefault="00CD5946">
          <w:pPr>
            <w:pStyle w:val="TOC2"/>
            <w:tabs>
              <w:tab w:val="clear" w:pos="9077"/>
              <w:tab w:val="right" w:leader="dot" w:pos="9359"/>
            </w:tabs>
          </w:pPr>
          <w:hyperlink w:anchor="__RefHeading___Toc9497_1729075678" w:tooltip="4. Glossary (Annex 7) مسرد الملحق ⁦7⁩">
            <w:r>
              <w:rPr>
                <w:rStyle w:val="IndexLink"/>
                <w:webHidden/>
              </w:rPr>
              <w:t>4. Glossary (Annex 7)</w:t>
            </w:r>
            <w:r>
              <w:rPr>
                <w:rStyle w:val="IndexLink"/>
              </w:rPr>
              <w:t xml:space="preserve"> </w:t>
            </w:r>
            <w:r>
              <w:rPr>
                <w:rStyle w:val="IndexLink"/>
                <w:rtl/>
              </w:rPr>
              <w:t>مسرد الملحق ⁦</w:t>
            </w:r>
            <w:r>
              <w:rPr>
                <w:rStyle w:val="IndexLink"/>
              </w:rPr>
              <w:t>7⁩</w:t>
              <w:tab/>
              <w:t>124</w:t>
            </w:r>
          </w:hyperlink>
        </w:p>
        <w:p w14:paraId="424E2763" w14:textId="77777777" w:rsidR="00CD5946" w:rsidRDefault="00CD5946">
          <w:pPr>
            <w:pStyle w:val="TOC1"/>
            <w:tabs>
              <w:tab w:val="clear" w:pos="9360"/>
              <w:tab w:val="right" w:leader="dot" w:pos="9359"/>
            </w:tabs>
          </w:pPr>
          <w:hyperlink w:anchor="__RefHeading___Toc9499_1729075678" w:tooltip="Contents">
            <w:r>
              <w:rPr>
                <w:rStyle w:val="IndexLink"/>
                <w:webHidden/>
              </w:rPr>
              <w:t>Contents</w:t>
            </w:r>
            <w:r>
              <w:rPr>
                <w:rStyle w:val="IndexLink"/>
              </w:rPr>
              <w:tab/>
              <w:t>126</w:t>
            </w:r>
          </w:hyperlink>
        </w:p>
        <w:p w14:paraId="4B49CE71"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webHidden/>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698197D8" w14:textId="77777777" w:rsidR="00CD5946" w:rsidRDefault="00CD5946">
          <w:pPr>
            <w:pStyle w:val="TOC2"/>
            <w:tabs>
              <w:tab w:val="clear" w:pos="9077"/>
              <w:tab w:val="right" w:leader="dot" w:pos="9359"/>
            </w:tabs>
          </w:pPr>
          <w:hyperlink w:anchor="__RefHeading___Toc9503_1729075678" w:tooltip="1. Personnel الأفراد">
            <w:r>
              <w:rPr>
                <w:rStyle w:val="IndexLink"/>
                <w:webHidden/>
              </w:rPr>
              <w:t>1. Personnel</w:t>
            </w:r>
            <w:r>
              <w:rPr>
                <w:rStyle w:val="IndexLink"/>
              </w:rPr>
              <w:t xml:space="preserve"> </w:t>
            </w:r>
            <w:r>
              <w:rPr>
                <w:rStyle w:val="IndexLink"/>
                <w:rtl/>
              </w:rPr>
              <w:t>الأفراد</w:t>
            </w:r>
            <w:r>
              <w:rPr>
                <w:rStyle w:val="IndexLink"/>
              </w:rPr>
              <w:tab/>
              <w:t>129</w:t>
            </w:r>
          </w:hyperlink>
        </w:p>
        <w:p w14:paraId="2BAB2EA8" w14:textId="77777777" w:rsidR="00CD5946" w:rsidRDefault="00CD5946">
          <w:pPr>
            <w:pStyle w:val="TOC2"/>
            <w:tabs>
              <w:tab w:val="clear" w:pos="9077"/>
              <w:tab w:val="right" w:leader="dot" w:pos="9359"/>
            </w:tabs>
          </w:pPr>
          <w:hyperlink w:anchor="__RefHeading___Toc9505_1729075678" w:tooltip="2. Starting materials المواد الأولية">
            <w:r>
              <w:rPr>
                <w:rStyle w:val="IndexLink"/>
                <w:webHidden/>
              </w:rPr>
              <w:t>2. Starting materials</w:t>
            </w:r>
            <w:r>
              <w:rPr>
                <w:rStyle w:val="IndexLink"/>
              </w:rPr>
              <w:t xml:space="preserve"> </w:t>
            </w:r>
            <w:r>
              <w:rPr>
                <w:rStyle w:val="IndexLink"/>
                <w:rtl/>
              </w:rPr>
              <w:t>المواد الأولية</w:t>
            </w:r>
            <w:r>
              <w:rPr>
                <w:rStyle w:val="IndexLink"/>
              </w:rPr>
              <w:tab/>
              <w:t>129</w:t>
            </w:r>
          </w:hyperlink>
        </w:p>
        <w:p w14:paraId="6129C02A" w14:textId="77777777" w:rsidR="00CD5946" w:rsidRDefault="00CD5946">
          <w:pPr>
            <w:pStyle w:val="TOC2"/>
            <w:tabs>
              <w:tab w:val="clear" w:pos="9077"/>
              <w:tab w:val="right" w:leader="dot" w:pos="9359"/>
            </w:tabs>
          </w:pPr>
          <w:hyperlink w:anchor="__RefHeading___Toc9507_1729075678" w:tooltip="3. Packaging materials مواد التعبئة">
            <w:r>
              <w:rPr>
                <w:rStyle w:val="IndexLink"/>
                <w:webHidden/>
              </w:rPr>
              <w:t>3. Packaging materials</w:t>
            </w:r>
            <w:r>
              <w:rPr>
                <w:rStyle w:val="IndexLink"/>
              </w:rPr>
              <w:t xml:space="preserve"> </w:t>
            </w:r>
            <w:r>
              <w:rPr>
                <w:rStyle w:val="IndexLink"/>
                <w:rtl/>
              </w:rPr>
              <w:t>مواد التعبئة</w:t>
            </w:r>
            <w:r>
              <w:rPr>
                <w:rStyle w:val="IndexLink"/>
              </w:rPr>
              <w:tab/>
              <w:t>129</w:t>
            </w:r>
          </w:hyperlink>
        </w:p>
        <w:p w14:paraId="19BE02FF" w14:textId="77777777" w:rsidR="00CD5946" w:rsidRDefault="00CD5946">
          <w:pPr>
            <w:pStyle w:val="TOC2"/>
            <w:tabs>
              <w:tab w:val="clear" w:pos="9077"/>
              <w:tab w:val="right" w:leader="dot" w:pos="9359"/>
            </w:tabs>
          </w:pPr>
          <w:hyperlink w:anchor="__RefHeading___Toc9509_1729075678" w:tooltip="4. Glossary (Annex 8) مسرد الملحق ⁦8⁩">
            <w:r>
              <w:rPr>
                <w:rStyle w:val="IndexLink"/>
                <w:webHidden/>
              </w:rPr>
              <w:t>4. Glossary (Annex 8)</w:t>
            </w:r>
            <w:r>
              <w:rPr>
                <w:rStyle w:val="IndexLink"/>
              </w:rPr>
              <w:t xml:space="preserve"> </w:t>
            </w:r>
            <w:r>
              <w:rPr>
                <w:rStyle w:val="IndexLink"/>
                <w:rtl/>
              </w:rPr>
              <w:t>مسرد الملحق ⁦</w:t>
            </w:r>
            <w:r>
              <w:rPr>
                <w:rStyle w:val="IndexLink"/>
              </w:rPr>
              <w:t>8⁩</w:t>
              <w:tab/>
              <w:t>129</w:t>
            </w:r>
          </w:hyperlink>
        </w:p>
        <w:p w14:paraId="2985AE28" w14:textId="77777777" w:rsidR="00CD5946" w:rsidRDefault="00CD5946">
          <w:pPr>
            <w:pStyle w:val="TOC1"/>
            <w:tabs>
              <w:tab w:val="clear" w:pos="9360"/>
              <w:tab w:val="right" w:leader="dot" w:pos="9359"/>
            </w:tabs>
          </w:pPr>
          <w:hyperlink w:anchor="__RefHeading___Toc9511_1729075678" w:tooltip="Contents">
            <w:r>
              <w:rPr>
                <w:rStyle w:val="IndexLink"/>
                <w:webHidden/>
              </w:rPr>
              <w:t>Contents</w:t>
            </w:r>
            <w:r>
              <w:rPr>
                <w:rStyle w:val="IndexLink"/>
              </w:rPr>
              <w:tab/>
              <w:t>131</w:t>
            </w:r>
          </w:hyperlink>
        </w:p>
        <w:p w14:paraId="0876ECE2"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webHidden/>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556A3DFE" w14:textId="77777777" w:rsidR="00CD5946" w:rsidRDefault="00CD5946">
          <w:pPr>
            <w:pStyle w:val="TOC2"/>
            <w:tabs>
              <w:tab w:val="clear" w:pos="9077"/>
              <w:tab w:val="right" w:leader="dot" w:pos="9359"/>
            </w:tabs>
          </w:pPr>
          <w:hyperlink w:anchor="__RefHeading___Toc9515_1729075678" w:tooltip="1. Risk management إدارة المخاطر">
            <w:r>
              <w:rPr>
                <w:rStyle w:val="IndexLink"/>
                <w:webHidden/>
              </w:rPr>
              <w:t>1. Risk management</w:t>
            </w:r>
            <w:r>
              <w:rPr>
                <w:rStyle w:val="IndexLink"/>
              </w:rPr>
              <w:t xml:space="preserve"> </w:t>
            </w:r>
            <w:r>
              <w:rPr>
                <w:rStyle w:val="IndexLink"/>
                <w:rtl/>
              </w:rPr>
              <w:t>إدارة المخاطر</w:t>
            </w:r>
            <w:r>
              <w:rPr>
                <w:rStyle w:val="IndexLink"/>
              </w:rPr>
              <w:tab/>
              <w:t>134</w:t>
            </w:r>
          </w:hyperlink>
        </w:p>
        <w:p w14:paraId="67D91356" w14:textId="77777777" w:rsidR="00CD5946" w:rsidRDefault="00CD5946">
          <w:pPr>
            <w:pStyle w:val="TOC2"/>
            <w:tabs>
              <w:tab w:val="clear" w:pos="9077"/>
              <w:tab w:val="right" w:leader="dot" w:pos="9359"/>
            </w:tabs>
          </w:pPr>
          <w:hyperlink w:anchor="__RefHeading___Toc9517_1729075678" w:tooltip="2. Personnel الأفراد">
            <w:r>
              <w:rPr>
                <w:rStyle w:val="IndexLink"/>
                <w:webHidden/>
              </w:rPr>
              <w:t>2. Personnel</w:t>
            </w:r>
            <w:r>
              <w:rPr>
                <w:rStyle w:val="IndexLink"/>
              </w:rPr>
              <w:t xml:space="preserve"> </w:t>
            </w:r>
            <w:r>
              <w:rPr>
                <w:rStyle w:val="IndexLink"/>
                <w:rtl/>
              </w:rPr>
              <w:t>الأفراد</w:t>
            </w:r>
            <w:r>
              <w:rPr>
                <w:rStyle w:val="IndexLink"/>
              </w:rPr>
              <w:tab/>
              <w:t>134</w:t>
            </w:r>
          </w:hyperlink>
        </w:p>
        <w:p w14:paraId="0DC7B0D3" w14:textId="77777777" w:rsidR="00CD5946" w:rsidRDefault="00CD5946">
          <w:pPr>
            <w:pStyle w:val="TOC2"/>
            <w:tabs>
              <w:tab w:val="clear" w:pos="9077"/>
              <w:tab w:val="right" w:leader="dot" w:pos="9359"/>
            </w:tabs>
          </w:pPr>
          <w:hyperlink w:anchor="__RefHeading___Toc9519_1729075678" w:tooltip="3. Suppliers and service providers المورّدون ومقدّمو الخدمة">
            <w:r>
              <w:rPr>
                <w:rStyle w:val="IndexLink"/>
                <w:webHidden/>
              </w:rPr>
              <w:t>3. Suppliers and service providers</w:t>
            </w:r>
            <w:r>
              <w:rPr>
                <w:rStyle w:val="IndexLink"/>
              </w:rPr>
              <w:t xml:space="preserve"> </w:t>
            </w:r>
            <w:r>
              <w:rPr>
                <w:rStyle w:val="IndexLink"/>
                <w:rtl/>
              </w:rPr>
              <w:t>المورّدون ومقدّمو الخدمة</w:t>
            </w:r>
            <w:r>
              <w:rPr>
                <w:rStyle w:val="IndexLink"/>
              </w:rPr>
              <w:tab/>
              <w:t>134</w:t>
            </w:r>
          </w:hyperlink>
        </w:p>
        <w:p w14:paraId="40D73551" w14:textId="77777777" w:rsidR="00CD5946" w:rsidRDefault="00CD5946">
          <w:pPr>
            <w:pStyle w:val="TOC2"/>
            <w:tabs>
              <w:tab w:val="clear" w:pos="9077"/>
              <w:tab w:val="right" w:leader="dot" w:pos="9359"/>
            </w:tabs>
          </w:pPr>
          <w:hyperlink w:anchor="__RefHeading___Toc9521_1729075678" w:tooltip="4. Validation التحقّق">
            <w:r>
              <w:rPr>
                <w:rStyle w:val="IndexLink"/>
                <w:webHidden/>
              </w:rPr>
              <w:t>4. Validation</w:t>
            </w:r>
            <w:r>
              <w:rPr>
                <w:rStyle w:val="IndexLink"/>
              </w:rPr>
              <w:t xml:space="preserve"> </w:t>
            </w:r>
            <w:r>
              <w:rPr>
                <w:rStyle w:val="IndexLink"/>
                <w:rtl/>
              </w:rPr>
              <w:t>التحقّق</w:t>
            </w:r>
            <w:r>
              <w:rPr>
                <w:rStyle w:val="IndexLink"/>
              </w:rPr>
              <w:tab/>
              <w:t>134</w:t>
            </w:r>
          </w:hyperlink>
        </w:p>
        <w:p w14:paraId="1B2533C7" w14:textId="77777777" w:rsidR="00CD5946" w:rsidRDefault="00CD5946">
          <w:pPr>
            <w:pStyle w:val="TOC2"/>
            <w:tabs>
              <w:tab w:val="clear" w:pos="9077"/>
              <w:tab w:val="right" w:leader="dot" w:pos="9359"/>
            </w:tabs>
          </w:pPr>
          <w:hyperlink w:anchor="__RefHeading___Toc9523_1729075678" w:tooltip="5. Data and accuracy البيانات والدقّة">
            <w:r>
              <w:rPr>
                <w:rStyle w:val="IndexLink"/>
                <w:webHidden/>
              </w:rPr>
              <w:t>5. Data and accuracy</w:t>
            </w:r>
            <w:r>
              <w:rPr>
                <w:rStyle w:val="IndexLink"/>
              </w:rPr>
              <w:t xml:space="preserve"> </w:t>
            </w:r>
            <w:r>
              <w:rPr>
                <w:rStyle w:val="IndexLink"/>
                <w:rtl/>
              </w:rPr>
              <w:t>البيانات والدقّة</w:t>
            </w:r>
            <w:r>
              <w:rPr>
                <w:rStyle w:val="IndexLink"/>
              </w:rPr>
              <w:tab/>
              <w:t>135</w:t>
            </w:r>
          </w:hyperlink>
        </w:p>
        <w:p w14:paraId="7D401A7A" w14:textId="77777777" w:rsidR="00CD5946" w:rsidRDefault="00CD5946">
          <w:pPr>
            <w:pStyle w:val="TOC2"/>
            <w:tabs>
              <w:tab w:val="clear" w:pos="9077"/>
              <w:tab w:val="right" w:leader="dot" w:pos="9359"/>
            </w:tabs>
          </w:pPr>
          <w:hyperlink w:anchor="__RefHeading___Toc9525_1729075678" w:tooltip="6. Data storage تخزين البيانات">
            <w:r>
              <w:rPr>
                <w:rStyle w:val="IndexLink"/>
                <w:webHidden/>
              </w:rPr>
              <w:t>6. Data storage</w:t>
            </w:r>
            <w:r>
              <w:rPr>
                <w:rStyle w:val="IndexLink"/>
              </w:rPr>
              <w:t xml:space="preserve"> </w:t>
            </w:r>
            <w:r>
              <w:rPr>
                <w:rStyle w:val="IndexLink"/>
                <w:rtl/>
              </w:rPr>
              <w:t>تخزين البيانات</w:t>
            </w:r>
            <w:r>
              <w:rPr>
                <w:rStyle w:val="IndexLink"/>
              </w:rPr>
              <w:tab/>
              <w:t>135</w:t>
            </w:r>
          </w:hyperlink>
        </w:p>
        <w:p w14:paraId="1F44BB93" w14:textId="77777777" w:rsidR="00CD5946" w:rsidRDefault="00CD5946">
          <w:pPr>
            <w:pStyle w:val="TOC2"/>
            <w:tabs>
              <w:tab w:val="clear" w:pos="9077"/>
              <w:tab w:val="right" w:leader="dot" w:pos="9359"/>
            </w:tabs>
          </w:pPr>
          <w:hyperlink w:anchor="__RefHeading___Toc9527_1729075678" w:tooltip="7. Printouts المطبوعات">
            <w:r>
              <w:rPr>
                <w:rStyle w:val="IndexLink"/>
                <w:webHidden/>
              </w:rPr>
              <w:t>7. Printouts</w:t>
            </w:r>
            <w:r>
              <w:rPr>
                <w:rStyle w:val="IndexLink"/>
              </w:rPr>
              <w:t xml:space="preserve"> </w:t>
            </w:r>
            <w:r>
              <w:rPr>
                <w:rStyle w:val="IndexLink"/>
                <w:rtl/>
              </w:rPr>
              <w:t>المطبوعات</w:t>
            </w:r>
            <w:r>
              <w:rPr>
                <w:rStyle w:val="IndexLink"/>
              </w:rPr>
              <w:tab/>
              <w:t>136</w:t>
            </w:r>
          </w:hyperlink>
        </w:p>
        <w:p w14:paraId="2ADCB69E" w14:textId="77777777" w:rsidR="00CD5946" w:rsidRDefault="00CD5946">
          <w:pPr>
            <w:pStyle w:val="TOC2"/>
            <w:tabs>
              <w:tab w:val="clear" w:pos="9077"/>
              <w:tab w:val="right" w:leader="dot" w:pos="9359"/>
            </w:tabs>
          </w:pPr>
          <w:hyperlink w:anchor="__RefHeading___Toc9529_1729075678" w:tooltip="8. Audit trails مسارات التدقيق">
            <w:r>
              <w:rPr>
                <w:rStyle w:val="IndexLink"/>
                <w:webHidden/>
              </w:rPr>
              <w:t>8. Audit trails</w:t>
            </w:r>
            <w:r>
              <w:rPr>
                <w:rStyle w:val="IndexLink"/>
              </w:rPr>
              <w:t xml:space="preserve"> </w:t>
            </w:r>
            <w:r>
              <w:rPr>
                <w:rStyle w:val="IndexLink"/>
                <w:rtl/>
              </w:rPr>
              <w:t>مسارات التدقيق</w:t>
            </w:r>
            <w:r>
              <w:rPr>
                <w:rStyle w:val="IndexLink"/>
              </w:rPr>
              <w:tab/>
              <w:t>136</w:t>
            </w:r>
          </w:hyperlink>
        </w:p>
        <w:p w14:paraId="7056986C" w14:textId="77777777" w:rsidR="00CD5946" w:rsidRDefault="00CD5946">
          <w:pPr>
            <w:pStyle w:val="TOC2"/>
            <w:tabs>
              <w:tab w:val="clear" w:pos="9077"/>
              <w:tab w:val="right" w:leader="dot" w:pos="9359"/>
            </w:tabs>
          </w:pPr>
          <w:hyperlink w:anchor="__RefHeading___Toc9531_1729075678" w:tooltip="9. Change and configuration management إدارة التغيير والتهيئة">
            <w:r>
              <w:rPr>
                <w:rStyle w:val="IndexLink"/>
                <w:webHidden/>
              </w:rPr>
              <w:t>9. Change and configuration management</w:t>
            </w:r>
            <w:r>
              <w:rPr>
                <w:rStyle w:val="IndexLink"/>
              </w:rPr>
              <w:t xml:space="preserve"> </w:t>
            </w:r>
            <w:r>
              <w:rPr>
                <w:rStyle w:val="IndexLink"/>
                <w:rtl/>
              </w:rPr>
              <w:t>إدارة التغيير والتهيئة</w:t>
            </w:r>
            <w:r>
              <w:rPr>
                <w:rStyle w:val="IndexLink"/>
              </w:rPr>
              <w:tab/>
              <w:t>136</w:t>
            </w:r>
          </w:hyperlink>
        </w:p>
        <w:p w14:paraId="45225CF2" w14:textId="77777777" w:rsidR="00CD5946" w:rsidRDefault="00CD5946">
          <w:pPr>
            <w:pStyle w:val="TOC2"/>
            <w:tabs>
              <w:tab w:val="clear" w:pos="9077"/>
              <w:tab w:val="right" w:leader="dot" w:pos="9359"/>
            </w:tabs>
          </w:pPr>
          <w:hyperlink w:anchor="__RefHeading___Toc9533_1729075678" w:tooltip="10. Security الأمن">
            <w:r>
              <w:rPr>
                <w:rStyle w:val="IndexLink"/>
                <w:webHidden/>
              </w:rPr>
              <w:t>10. Security</w:t>
            </w:r>
            <w:r>
              <w:rPr>
                <w:rStyle w:val="IndexLink"/>
              </w:rPr>
              <w:t xml:space="preserve"> </w:t>
            </w:r>
            <w:r>
              <w:rPr>
                <w:rStyle w:val="IndexLink"/>
                <w:rtl/>
              </w:rPr>
              <w:t>الأمن</w:t>
            </w:r>
            <w:r>
              <w:rPr>
                <w:rStyle w:val="IndexLink"/>
              </w:rPr>
              <w:tab/>
              <w:t>136</w:t>
            </w:r>
          </w:hyperlink>
        </w:p>
        <w:p w14:paraId="5254978A" w14:textId="77777777" w:rsidR="00CD5946" w:rsidRDefault="00CD5946">
          <w:pPr>
            <w:pStyle w:val="TOC2"/>
            <w:tabs>
              <w:tab w:val="clear" w:pos="9077"/>
              <w:tab w:val="right" w:leader="dot" w:pos="9359"/>
            </w:tabs>
          </w:pPr>
          <w:hyperlink w:anchor="__RefHeading___Toc9535_1729075678" w:tooltip="11. Incident management إدارة الحوادث">
            <w:r>
              <w:rPr>
                <w:rStyle w:val="IndexLink"/>
                <w:webHidden/>
              </w:rPr>
              <w:t>11. Incident management</w:t>
            </w:r>
            <w:r>
              <w:rPr>
                <w:rStyle w:val="IndexLink"/>
              </w:rPr>
              <w:t xml:space="preserve"> </w:t>
            </w:r>
            <w:r>
              <w:rPr>
                <w:rStyle w:val="IndexLink"/>
                <w:rtl/>
              </w:rPr>
              <w:t>إدارة الحوادث</w:t>
            </w:r>
            <w:r>
              <w:rPr>
                <w:rStyle w:val="IndexLink"/>
              </w:rPr>
              <w:tab/>
              <w:t>137</w:t>
            </w:r>
          </w:hyperlink>
        </w:p>
        <w:p w14:paraId="12466AFE" w14:textId="77777777" w:rsidR="00CD5946" w:rsidRDefault="00CD5946">
          <w:pPr>
            <w:pStyle w:val="TOC2"/>
            <w:tabs>
              <w:tab w:val="clear" w:pos="9077"/>
              <w:tab w:val="right" w:leader="dot" w:pos="9359"/>
            </w:tabs>
          </w:pPr>
          <w:hyperlink w:anchor="__RefHeading___Toc9537_1729075678" w:tooltip="12. Electronic signature التوقيع الإلكتروني">
            <w:r>
              <w:rPr>
                <w:rStyle w:val="IndexLink"/>
                <w:webHidden/>
              </w:rPr>
              <w:t>12. Electronic signature</w:t>
            </w:r>
            <w:r>
              <w:rPr>
                <w:rStyle w:val="IndexLink"/>
              </w:rPr>
              <w:t xml:space="preserve"> </w:t>
            </w:r>
            <w:r>
              <w:rPr>
                <w:rStyle w:val="IndexLink"/>
                <w:rtl/>
              </w:rPr>
              <w:t>التوقيع الإلكتروني</w:t>
            </w:r>
            <w:r>
              <w:rPr>
                <w:rStyle w:val="IndexLink"/>
              </w:rPr>
              <w:tab/>
              <w:t>137</w:t>
            </w:r>
          </w:hyperlink>
        </w:p>
        <w:p w14:paraId="32834E4B" w14:textId="77777777" w:rsidR="00CD5946" w:rsidRDefault="00CD5946">
          <w:pPr>
            <w:pStyle w:val="TOC2"/>
            <w:tabs>
              <w:tab w:val="clear" w:pos="9077"/>
              <w:tab w:val="right" w:leader="dot" w:pos="9359"/>
            </w:tabs>
          </w:pPr>
          <w:hyperlink w:anchor="__RefHeading___Toc9539_1729075678" w:tooltip="13. Batch release الإفراج عن الدفعة">
            <w:r>
              <w:rPr>
                <w:rStyle w:val="IndexLink"/>
                <w:webHidden/>
              </w:rPr>
              <w:t>13. Batch release</w:t>
            </w:r>
            <w:r>
              <w:rPr>
                <w:rStyle w:val="IndexLink"/>
              </w:rPr>
              <w:t xml:space="preserve"> </w:t>
            </w:r>
            <w:r>
              <w:rPr>
                <w:rStyle w:val="IndexLink"/>
                <w:rtl/>
              </w:rPr>
              <w:t>الإفراج عن الدفعة</w:t>
            </w:r>
            <w:r>
              <w:rPr>
                <w:rStyle w:val="IndexLink"/>
              </w:rPr>
              <w:tab/>
              <w:t>137</w:t>
            </w:r>
          </w:hyperlink>
        </w:p>
        <w:p w14:paraId="725F59AD" w14:textId="77777777" w:rsidR="00CD5946" w:rsidRDefault="00CD5946">
          <w:pPr>
            <w:pStyle w:val="TOC2"/>
            <w:tabs>
              <w:tab w:val="clear" w:pos="9077"/>
              <w:tab w:val="right" w:leader="dot" w:pos="9359"/>
            </w:tabs>
          </w:pPr>
          <w:hyperlink w:anchor="__RefHeading___Toc9541_1729075678" w:tooltip="14. Business continuity and archiving استمرارية الأعمال والأرشفة">
            <w:r>
              <w:rPr>
                <w:rStyle w:val="IndexLink"/>
                <w:webHidden/>
              </w:rPr>
              <w:t>14. Business continuity and archiving</w:t>
            </w:r>
            <w:r>
              <w:rPr>
                <w:rStyle w:val="IndexLink"/>
              </w:rPr>
              <w:t xml:space="preserve"> </w:t>
            </w:r>
            <w:r>
              <w:rPr>
                <w:rStyle w:val="IndexLink"/>
                <w:rtl/>
              </w:rPr>
              <w:t>استمرارية الأعمال والأرشفة</w:t>
            </w:r>
            <w:r>
              <w:rPr>
                <w:rStyle w:val="IndexLink"/>
              </w:rPr>
              <w:tab/>
              <w:t>137</w:t>
            </w:r>
          </w:hyperlink>
        </w:p>
        <w:p w14:paraId="4F003829" w14:textId="77777777" w:rsidR="00CD5946" w:rsidRDefault="00CD5946">
          <w:pPr>
            <w:pStyle w:val="TOC2"/>
            <w:tabs>
              <w:tab w:val="clear" w:pos="9077"/>
              <w:tab w:val="right" w:leader="dot" w:pos="9359"/>
            </w:tabs>
          </w:pPr>
          <w:hyperlink w:anchor="__RefHeading___Toc9543_1729075678" w:tooltip="15. Glossary (Annex 11) مسرد الملحق ⁦11⁩">
            <w:r>
              <w:rPr>
                <w:rStyle w:val="IndexLink"/>
                <w:webHidden/>
              </w:rPr>
              <w:t>15. Glossary (Annex 11)</w:t>
            </w:r>
            <w:r>
              <w:rPr>
                <w:rStyle w:val="IndexLink"/>
              </w:rPr>
              <w:t xml:space="preserve"> </w:t>
            </w:r>
            <w:r>
              <w:rPr>
                <w:rStyle w:val="IndexLink"/>
                <w:rtl/>
              </w:rPr>
              <w:t>مسرد الملحق ⁦</w:t>
            </w:r>
            <w:r>
              <w:rPr>
                <w:rStyle w:val="IndexLink"/>
              </w:rPr>
              <w:t>11⁩</w:t>
              <w:tab/>
              <w:t>137</w:t>
            </w:r>
          </w:hyperlink>
        </w:p>
        <w:p w14:paraId="56774F8A" w14:textId="77777777" w:rsidR="00CD5946" w:rsidRDefault="00CD5946">
          <w:pPr>
            <w:pStyle w:val="TOC1"/>
            <w:tabs>
              <w:tab w:val="clear" w:pos="9360"/>
              <w:tab w:val="right" w:leader="dot" w:pos="9359"/>
            </w:tabs>
          </w:pPr>
          <w:hyperlink w:anchor="__RefHeading___Toc9545_1729075678" w:tooltip="Contents">
            <w:r>
              <w:rPr>
                <w:rStyle w:val="IndexLink"/>
                <w:webHidden/>
              </w:rPr>
              <w:t>Contents</w:t>
            </w:r>
            <w:r>
              <w:rPr>
                <w:rStyle w:val="IndexLink"/>
              </w:rPr>
              <w:tab/>
              <w:t>139</w:t>
            </w:r>
          </w:hyperlink>
        </w:p>
        <w:p w14:paraId="3A334862"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webHidden/>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5C6CBCFA" w14:textId="77777777" w:rsidR="00CD5946" w:rsidRDefault="00CD5946">
          <w:pPr>
            <w:pStyle w:val="TOC2"/>
            <w:tabs>
              <w:tab w:val="clear" w:pos="9077"/>
              <w:tab w:val="right" w:leader="dot" w:pos="9359"/>
            </w:tabs>
          </w:pPr>
          <w:hyperlink w:anchor="__RefHeading___Toc9549_1729075678" w:tooltip="1. Pharmaceutical Quality System and documentation نظام الجودة والتوثيق">
            <w:r>
              <w:rPr>
                <w:rStyle w:val="IndexLink"/>
                <w:webHidden/>
              </w:rPr>
              <w:t>1. Pharmaceutical Quality System and documentation</w:t>
            </w:r>
            <w:r>
              <w:rPr>
                <w:rStyle w:val="IndexLink"/>
              </w:rPr>
              <w:t xml:space="preserve"> </w:t>
            </w:r>
            <w:r>
              <w:rPr>
                <w:rStyle w:val="IndexLink"/>
                <w:rtl/>
              </w:rPr>
              <w:t>نظام الجودة والتوثيق</w:t>
            </w:r>
            <w:r>
              <w:rPr>
                <w:rStyle w:val="IndexLink"/>
              </w:rPr>
              <w:tab/>
              <w:t>142</w:t>
            </w:r>
          </w:hyperlink>
        </w:p>
        <w:p w14:paraId="529AB9CE" w14:textId="77777777" w:rsidR="00CD5946" w:rsidRDefault="00CD5946">
          <w:pPr>
            <w:pStyle w:val="TOC2"/>
            <w:tabs>
              <w:tab w:val="clear" w:pos="9077"/>
              <w:tab w:val="right" w:leader="dot" w:pos="9359"/>
            </w:tabs>
          </w:pPr>
          <w:hyperlink w:anchor="__RefHeading___Toc9551_1729075678" w:tooltip="2. Production, blinding and comparators الإنتاج والتعمية والمقارِنات">
            <w:r>
              <w:rPr>
                <w:rStyle w:val="IndexLink"/>
                <w:webHidden/>
              </w:rPr>
              <w:t>2. Production, blinding and comparators</w:t>
            </w:r>
            <w:r>
              <w:rPr>
                <w:rStyle w:val="IndexLink"/>
              </w:rPr>
              <w:t xml:space="preserve"> </w:t>
            </w:r>
            <w:r>
              <w:rPr>
                <w:rStyle w:val="IndexLink"/>
                <w:rtl/>
              </w:rPr>
              <w:t>الإنتاج والتعمية والمقارِنات</w:t>
            </w:r>
            <w:r>
              <w:rPr>
                <w:rStyle w:val="IndexLink"/>
              </w:rPr>
              <w:tab/>
              <w:t>142</w:t>
            </w:r>
          </w:hyperlink>
        </w:p>
        <w:p w14:paraId="14D6FEC3" w14:textId="77777777" w:rsidR="00CD5946" w:rsidRDefault="00CD5946">
          <w:pPr>
            <w:pStyle w:val="TOC2"/>
            <w:tabs>
              <w:tab w:val="clear" w:pos="9077"/>
              <w:tab w:val="right" w:leader="dot" w:pos="9359"/>
            </w:tabs>
          </w:pPr>
          <w:hyperlink w:anchor="__RefHeading___Toc9553_1729075678" w:tooltip="3. Labelling, QC and release الوسم ومراقبة الجودة والإفراج">
            <w:r>
              <w:rPr>
                <w:rStyle w:val="IndexLink"/>
                <w:webHidden/>
              </w:rPr>
              <w:t>3. Labelling, QC and release</w:t>
            </w:r>
            <w:r>
              <w:rPr>
                <w:rStyle w:val="IndexLink"/>
              </w:rPr>
              <w:t xml:space="preserve"> </w:t>
            </w:r>
            <w:r>
              <w:rPr>
                <w:rStyle w:val="IndexLink"/>
                <w:rtl/>
              </w:rPr>
              <w:t>الوسم ومراقبة الجودة والإفراج</w:t>
            </w:r>
            <w:r>
              <w:rPr>
                <w:rStyle w:val="IndexLink"/>
              </w:rPr>
              <w:tab/>
              <w:t>142</w:t>
            </w:r>
          </w:hyperlink>
        </w:p>
        <w:p w14:paraId="16F83A09" w14:textId="77777777" w:rsidR="00CD5946" w:rsidRDefault="00CD5946">
          <w:pPr>
            <w:pStyle w:val="TOC2"/>
            <w:tabs>
              <w:tab w:val="clear" w:pos="9077"/>
              <w:tab w:val="right" w:leader="dot" w:pos="9359"/>
            </w:tabs>
          </w:pPr>
          <w:hyperlink w:anchor="__RefHeading___Toc9555_1729075678" w:tooltip="4. Glossary (Annex 13) مسرد الملحق ⁦13⁩">
            <w:r>
              <w:rPr>
                <w:rStyle w:val="IndexLink"/>
                <w:webHidden/>
              </w:rPr>
              <w:t>4. Glossary (Annex 13)</w:t>
            </w:r>
            <w:r>
              <w:rPr>
                <w:rStyle w:val="IndexLink"/>
              </w:rPr>
              <w:t xml:space="preserve"> </w:t>
            </w:r>
            <w:r>
              <w:rPr>
                <w:rStyle w:val="IndexLink"/>
                <w:rtl/>
              </w:rPr>
              <w:t>مسرد الملحق ⁦</w:t>
            </w:r>
            <w:r>
              <w:rPr>
                <w:rStyle w:val="IndexLink"/>
              </w:rPr>
              <w:t>13⁩</w:t>
              <w:tab/>
              <w:t>142</w:t>
            </w:r>
          </w:hyperlink>
        </w:p>
        <w:p w14:paraId="4BD731C7" w14:textId="77777777" w:rsidR="00CD5946" w:rsidRDefault="00CD5946">
          <w:pPr>
            <w:pStyle w:val="TOC1"/>
            <w:tabs>
              <w:tab w:val="clear" w:pos="9360"/>
              <w:tab w:val="right" w:leader="dot" w:pos="9359"/>
            </w:tabs>
          </w:pPr>
          <w:hyperlink w:anchor="__RefHeading___Toc9557_1729075678" w:tooltip="Contents">
            <w:r>
              <w:rPr>
                <w:rStyle w:val="IndexLink"/>
                <w:webHidden/>
              </w:rPr>
              <w:t>Contents</w:t>
            </w:r>
            <w:r>
              <w:rPr>
                <w:rStyle w:val="IndexLink"/>
              </w:rPr>
              <w:tab/>
              <w:t>144</w:t>
            </w:r>
          </w:hyperlink>
        </w:p>
        <w:p w14:paraId="199D7636"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webHidden/>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48CCC411" w14:textId="77777777" w:rsidR="00CD5946" w:rsidRDefault="00CD5946">
          <w:pPr>
            <w:pStyle w:val="TOC2"/>
            <w:tabs>
              <w:tab w:val="clear" w:pos="9077"/>
              <w:tab w:val="right" w:leader="dot" w:pos="9359"/>
            </w:tabs>
          </w:pPr>
          <w:hyperlink w:anchor="__RefHeading___Toc9561_1729075678" w:tooltip="1. General عام">
            <w:r>
              <w:rPr>
                <w:rStyle w:val="IndexLink"/>
                <w:webHidden/>
              </w:rPr>
              <w:t>1. General</w:t>
            </w:r>
            <w:r>
              <w:rPr>
                <w:rStyle w:val="IndexLink"/>
              </w:rPr>
              <w:t xml:space="preserve"> </w:t>
            </w:r>
            <w:r>
              <w:rPr>
                <w:rStyle w:val="IndexLink"/>
                <w:rtl/>
              </w:rPr>
              <w:t>عام</w:t>
            </w:r>
            <w:r>
              <w:rPr>
                <w:rStyle w:val="IndexLink"/>
              </w:rPr>
              <w:tab/>
              <w:t>147</w:t>
            </w:r>
          </w:hyperlink>
        </w:p>
        <w:p w14:paraId="728AA0D5" w14:textId="77777777" w:rsidR="00CD5946" w:rsidRDefault="00CD5946">
          <w:pPr>
            <w:pStyle w:val="TOC2"/>
            <w:tabs>
              <w:tab w:val="clear" w:pos="9077"/>
              <w:tab w:val="right" w:leader="dot" w:pos="9359"/>
            </w:tabs>
          </w:pPr>
          <w:hyperlink w:anchor="__RefHeading___Toc9563_1729075678" w:tooltip="2. Organising and planning for qualification and validation تنظيم وتخطيط التأهيل والتحقّق">
            <w:r>
              <w:rPr>
                <w:rStyle w:val="IndexLink"/>
                <w:webHidden/>
              </w:rPr>
              <w:t>2. Organising and planning for qualification and validation</w:t>
            </w:r>
            <w:r>
              <w:rPr>
                <w:rStyle w:val="IndexLink"/>
              </w:rPr>
              <w:t xml:space="preserve"> </w:t>
            </w:r>
            <w:r>
              <w:rPr>
                <w:rStyle w:val="IndexLink"/>
                <w:rtl/>
              </w:rPr>
              <w:t>تنظيم وتخطيط التأهيل والتحقّق</w:t>
            </w:r>
            <w:r>
              <w:rPr>
                <w:rStyle w:val="IndexLink"/>
              </w:rPr>
              <w:tab/>
              <w:t>147</w:t>
            </w:r>
          </w:hyperlink>
        </w:p>
        <w:p w14:paraId="4B48F15B" w14:textId="77777777" w:rsidR="00CD5946" w:rsidRDefault="00CD5946">
          <w:pPr>
            <w:pStyle w:val="TOC2"/>
            <w:tabs>
              <w:tab w:val="clear" w:pos="9077"/>
              <w:tab w:val="right" w:leader="dot" w:pos="9359"/>
            </w:tabs>
          </w:pPr>
          <w:hyperlink w:anchor="__RefHeading___Toc9565_1729075678" w:tooltip="3. Documentation, including the VMP التوثيق وخطة التحقّق الرئيسية">
            <w:r>
              <w:rPr>
                <w:rStyle w:val="IndexLink"/>
                <w:webHidden/>
              </w:rPr>
              <w:t>3. Documentation, including the VMP</w:t>
            </w:r>
            <w:r>
              <w:rPr>
                <w:rStyle w:val="IndexLink"/>
              </w:rPr>
              <w:t xml:space="preserve"> </w:t>
            </w:r>
            <w:r>
              <w:rPr>
                <w:rStyle w:val="IndexLink"/>
                <w:rtl/>
              </w:rPr>
              <w:t>التوثيق وخطة التحقّق الرئيسية</w:t>
            </w:r>
            <w:r>
              <w:rPr>
                <w:rStyle w:val="IndexLink"/>
              </w:rPr>
              <w:tab/>
              <w:t>148</w:t>
            </w:r>
          </w:hyperlink>
        </w:p>
        <w:p w14:paraId="48601224" w14:textId="77777777" w:rsidR="00CD5946" w:rsidRDefault="00CD5946">
          <w:pPr>
            <w:pStyle w:val="TOC2"/>
            <w:tabs>
              <w:tab w:val="clear" w:pos="9077"/>
              <w:tab w:val="right" w:leader="dot" w:pos="9359"/>
            </w:tabs>
          </w:pPr>
          <w:hyperlink w:anchor="__RefHeading___Toc9567_1729075678" w:tooltip="4. Qualification stages for equipment, facilities, utilities and systems مراحل تأهيل المعدّات والمرافق والمنافع والأنظمة">
            <w:r>
              <w:rPr>
                <w:rStyle w:val="IndexLink"/>
                <w:webHidden/>
              </w:rPr>
              <w:t>4. Qualification stages for equipment, facilities, utilities and systems</w:t>
            </w:r>
            <w:r>
              <w:rPr>
                <w:rStyle w:val="IndexLink"/>
              </w:rPr>
              <w:t xml:space="preserve"> </w:t>
            </w:r>
            <w:r>
              <w:rPr>
                <w:rStyle w:val="IndexLink"/>
                <w:rtl/>
              </w:rPr>
              <w:t>مراحل تأهيل المعدّات والمرافق والمنافع والأنظمة</w:t>
            </w:r>
            <w:r>
              <w:rPr>
                <w:rStyle w:val="IndexLink"/>
              </w:rPr>
              <w:tab/>
              <w:t>148</w:t>
            </w:r>
          </w:hyperlink>
        </w:p>
        <w:p w14:paraId="28A4C001" w14:textId="77777777" w:rsidR="00CD5946" w:rsidRDefault="00CD5946">
          <w:pPr>
            <w:pStyle w:val="TOC2"/>
            <w:tabs>
              <w:tab w:val="clear" w:pos="9077"/>
              <w:tab w:val="right" w:leader="dot" w:pos="9359"/>
            </w:tabs>
          </w:pPr>
          <w:hyperlink w:anchor="__RefHeading___Toc9569_1729075678" w:tooltip="5. Re-qualification إعادة التأهيل">
            <w:r>
              <w:rPr>
                <w:rStyle w:val="IndexLink"/>
                <w:webHidden/>
              </w:rPr>
              <w:t>5. Re-qualification</w:t>
            </w:r>
            <w:r>
              <w:rPr>
                <w:rStyle w:val="IndexLink"/>
              </w:rPr>
              <w:t xml:space="preserve"> </w:t>
            </w:r>
            <w:r>
              <w:rPr>
                <w:rStyle w:val="IndexLink"/>
                <w:rtl/>
              </w:rPr>
              <w:t>إعادة التأهيل</w:t>
            </w:r>
            <w:r>
              <w:rPr>
                <w:rStyle w:val="IndexLink"/>
              </w:rPr>
              <w:tab/>
              <w:t>149</w:t>
            </w:r>
          </w:hyperlink>
        </w:p>
        <w:p w14:paraId="5366A06F" w14:textId="77777777" w:rsidR="00CD5946" w:rsidRDefault="00CD5946">
          <w:pPr>
            <w:pStyle w:val="TOC2"/>
            <w:tabs>
              <w:tab w:val="clear" w:pos="9077"/>
              <w:tab w:val="right" w:leader="dot" w:pos="9359"/>
            </w:tabs>
          </w:pPr>
          <w:hyperlink w:anchor="__RefHeading___Toc9571_1729075678" w:tooltip="6. Process validation تحقّق العملية">
            <w:r>
              <w:rPr>
                <w:rStyle w:val="IndexLink"/>
                <w:webHidden/>
              </w:rPr>
              <w:t>6. Process validation</w:t>
            </w:r>
            <w:r>
              <w:rPr>
                <w:rStyle w:val="IndexLink"/>
              </w:rPr>
              <w:t xml:space="preserve"> </w:t>
            </w:r>
            <w:r>
              <w:rPr>
                <w:rStyle w:val="IndexLink"/>
                <w:rtl/>
              </w:rPr>
              <w:t>تحقّق العملية</w:t>
            </w:r>
            <w:r>
              <w:rPr>
                <w:rStyle w:val="IndexLink"/>
              </w:rPr>
              <w:tab/>
              <w:t>149</w:t>
            </w:r>
          </w:hyperlink>
        </w:p>
        <w:p w14:paraId="23259366" w14:textId="77777777" w:rsidR="00CD5946" w:rsidRDefault="00CD5946">
          <w:pPr>
            <w:pStyle w:val="TOC2"/>
            <w:tabs>
              <w:tab w:val="clear" w:pos="9077"/>
              <w:tab w:val="right" w:leader="dot" w:pos="9359"/>
            </w:tabs>
          </w:pPr>
          <w:hyperlink w:anchor="__RefHeading___Toc9573_1729075678" w:tooltip="7. Verification of transportation التحقّق من النقل">
            <w:r>
              <w:rPr>
                <w:rStyle w:val="IndexLink"/>
                <w:webHidden/>
              </w:rPr>
              <w:t>7. Verification of transportation</w:t>
            </w:r>
            <w:r>
              <w:rPr>
                <w:rStyle w:val="IndexLink"/>
              </w:rPr>
              <w:t xml:space="preserve"> </w:t>
            </w:r>
            <w:r>
              <w:rPr>
                <w:rStyle w:val="IndexLink"/>
                <w:rtl/>
              </w:rPr>
              <w:t>التحقّق من النقل</w:t>
            </w:r>
            <w:r>
              <w:rPr>
                <w:rStyle w:val="IndexLink"/>
              </w:rPr>
              <w:tab/>
              <w:t>150</w:t>
            </w:r>
          </w:hyperlink>
        </w:p>
        <w:p w14:paraId="7394780F" w14:textId="77777777" w:rsidR="00CD5946" w:rsidRDefault="00CD5946">
          <w:pPr>
            <w:pStyle w:val="TOC2"/>
            <w:tabs>
              <w:tab w:val="clear" w:pos="9077"/>
              <w:tab w:val="right" w:leader="dot" w:pos="9359"/>
            </w:tabs>
          </w:pPr>
          <w:hyperlink w:anchor="__RefHeading___Toc9575_1729075678" w:tooltip="8. Validation of packaging تحقّق التعبئة والتغليف">
            <w:r>
              <w:rPr>
                <w:rStyle w:val="IndexLink"/>
                <w:webHidden/>
              </w:rPr>
              <w:t>8. Validation of packaging</w:t>
            </w:r>
            <w:r>
              <w:rPr>
                <w:rStyle w:val="IndexLink"/>
              </w:rPr>
              <w:t xml:space="preserve"> </w:t>
            </w:r>
            <w:r>
              <w:rPr>
                <w:rStyle w:val="IndexLink"/>
                <w:rtl/>
              </w:rPr>
              <w:t>تحقّق التعبئة والتغليف</w:t>
            </w:r>
            <w:r>
              <w:rPr>
                <w:rStyle w:val="IndexLink"/>
              </w:rPr>
              <w:tab/>
              <w:t>150</w:t>
            </w:r>
          </w:hyperlink>
        </w:p>
        <w:p w14:paraId="21CEC6A5" w14:textId="77777777" w:rsidR="00CD5946" w:rsidRDefault="00CD5946">
          <w:pPr>
            <w:pStyle w:val="TOC2"/>
            <w:tabs>
              <w:tab w:val="clear" w:pos="9077"/>
              <w:tab w:val="right" w:leader="dot" w:pos="9359"/>
            </w:tabs>
          </w:pPr>
          <w:hyperlink w:anchor="__RefHeading___Toc9577_1729075678" w:tooltip="9. Qualification of utilities تأهيل المنافع">
            <w:r>
              <w:rPr>
                <w:rStyle w:val="IndexLink"/>
                <w:webHidden/>
              </w:rPr>
              <w:t>9. Qualification of utilities</w:t>
            </w:r>
            <w:r>
              <w:rPr>
                <w:rStyle w:val="IndexLink"/>
              </w:rPr>
              <w:t xml:space="preserve"> </w:t>
            </w:r>
            <w:r>
              <w:rPr>
                <w:rStyle w:val="IndexLink"/>
                <w:rtl/>
              </w:rPr>
              <w:t>تأهيل المنافع</w:t>
            </w:r>
            <w:r>
              <w:rPr>
                <w:rStyle w:val="IndexLink"/>
              </w:rPr>
              <w:tab/>
              <w:t>151</w:t>
            </w:r>
          </w:hyperlink>
        </w:p>
        <w:p w14:paraId="14A770B3" w14:textId="77777777" w:rsidR="00CD5946" w:rsidRDefault="00CD5946">
          <w:pPr>
            <w:pStyle w:val="TOC2"/>
            <w:tabs>
              <w:tab w:val="clear" w:pos="9077"/>
              <w:tab w:val="right" w:leader="dot" w:pos="9359"/>
            </w:tabs>
          </w:pPr>
          <w:hyperlink w:anchor="__RefHeading___Toc9579_1729075678" w:tooltip="10. Validation of test methods تحقّق طرائق الاختبار">
            <w:r>
              <w:rPr>
                <w:rStyle w:val="IndexLink"/>
                <w:webHidden/>
              </w:rPr>
              <w:t>10. Validation of test methods</w:t>
            </w:r>
            <w:r>
              <w:rPr>
                <w:rStyle w:val="IndexLink"/>
              </w:rPr>
              <w:t xml:space="preserve"> </w:t>
            </w:r>
            <w:r>
              <w:rPr>
                <w:rStyle w:val="IndexLink"/>
                <w:rtl/>
              </w:rPr>
              <w:t>تحقّق طرائق الاختبار</w:t>
            </w:r>
            <w:r>
              <w:rPr>
                <w:rStyle w:val="IndexLink"/>
              </w:rPr>
              <w:tab/>
              <w:t>151</w:t>
            </w:r>
          </w:hyperlink>
        </w:p>
        <w:p w14:paraId="769B44D0" w14:textId="77777777" w:rsidR="00CD5946" w:rsidRDefault="00CD5946">
          <w:pPr>
            <w:pStyle w:val="TOC2"/>
            <w:tabs>
              <w:tab w:val="clear" w:pos="9077"/>
              <w:tab w:val="right" w:leader="dot" w:pos="9359"/>
            </w:tabs>
          </w:pPr>
          <w:hyperlink w:anchor="__RefHeading___Toc9581_1729075678" w:tooltip="11. Cleaning validation تحقّق التنظيف">
            <w:r>
              <w:rPr>
                <w:rStyle w:val="IndexLink"/>
                <w:webHidden/>
              </w:rPr>
              <w:t>11. Cleaning validation</w:t>
            </w:r>
            <w:r>
              <w:rPr>
                <w:rStyle w:val="IndexLink"/>
              </w:rPr>
              <w:t xml:space="preserve"> </w:t>
            </w:r>
            <w:r>
              <w:rPr>
                <w:rStyle w:val="IndexLink"/>
                <w:rtl/>
              </w:rPr>
              <w:t>تحقّق التنظيف</w:t>
            </w:r>
            <w:r>
              <w:rPr>
                <w:rStyle w:val="IndexLink"/>
              </w:rPr>
              <w:tab/>
              <w:t>151</w:t>
            </w:r>
          </w:hyperlink>
        </w:p>
        <w:p w14:paraId="3DABCBD6" w14:textId="77777777" w:rsidR="00CD5946" w:rsidRDefault="00CD5946">
          <w:pPr>
            <w:pStyle w:val="TOC2"/>
            <w:tabs>
              <w:tab w:val="clear" w:pos="9077"/>
              <w:tab w:val="right" w:leader="dot" w:pos="9359"/>
            </w:tabs>
          </w:pPr>
          <w:hyperlink w:anchor="__RefHeading___Toc9583_1729075678" w:tooltip="12. Change control ضبط التغيير">
            <w:r>
              <w:rPr>
                <w:rStyle w:val="IndexLink"/>
                <w:webHidden/>
              </w:rPr>
              <w:t>12. Change control</w:t>
            </w:r>
            <w:r>
              <w:rPr>
                <w:rStyle w:val="IndexLink"/>
              </w:rPr>
              <w:t xml:space="preserve"> </w:t>
            </w:r>
            <w:r>
              <w:rPr>
                <w:rStyle w:val="IndexLink"/>
                <w:rtl/>
              </w:rPr>
              <w:t>ضبط التغيير</w:t>
            </w:r>
            <w:r>
              <w:rPr>
                <w:rStyle w:val="IndexLink"/>
              </w:rPr>
              <w:tab/>
              <w:t>152</w:t>
            </w:r>
          </w:hyperlink>
        </w:p>
        <w:p w14:paraId="02B7965B" w14:textId="77777777" w:rsidR="00CD5946" w:rsidRDefault="00CD5946">
          <w:pPr>
            <w:pStyle w:val="TOC2"/>
            <w:tabs>
              <w:tab w:val="clear" w:pos="9077"/>
              <w:tab w:val="right" w:leader="dot" w:pos="9359"/>
            </w:tabs>
          </w:pPr>
          <w:hyperlink w:anchor="__RefHeading___Toc9585_1729075678" w:tooltip="13. Glossary (Annex 15) مسرد الملحق ⁦15⁩">
            <w:r>
              <w:rPr>
                <w:rStyle w:val="IndexLink"/>
                <w:webHidden/>
              </w:rPr>
              <w:t>13. Glossary (Annex 15)</w:t>
            </w:r>
            <w:r>
              <w:rPr>
                <w:rStyle w:val="IndexLink"/>
              </w:rPr>
              <w:t xml:space="preserve"> </w:t>
            </w:r>
            <w:r>
              <w:rPr>
                <w:rStyle w:val="IndexLink"/>
                <w:rtl/>
              </w:rPr>
              <w:t>مسرد الملحق ⁦</w:t>
            </w:r>
            <w:r>
              <w:rPr>
                <w:rStyle w:val="IndexLink"/>
              </w:rPr>
              <w:t>15⁩</w:t>
              <w:tab/>
              <w:t>152</w:t>
            </w:r>
          </w:hyperlink>
        </w:p>
        <w:p w14:paraId="580FCAB8" w14:textId="77777777" w:rsidR="00CD5946" w:rsidRDefault="00CD5946">
          <w:pPr>
            <w:pStyle w:val="TOC1"/>
            <w:tabs>
              <w:tab w:val="clear" w:pos="9360"/>
              <w:tab w:val="right" w:leader="dot" w:pos="9359"/>
            </w:tabs>
          </w:pPr>
          <w:hyperlink w:anchor="__RefHeading___Toc9587_1729075678" w:tooltip="Contents">
            <w:r>
              <w:rPr>
                <w:rStyle w:val="IndexLink"/>
                <w:webHidden/>
              </w:rPr>
              <w:t>Contents</w:t>
            </w:r>
            <w:r>
              <w:rPr>
                <w:rStyle w:val="IndexLink"/>
              </w:rPr>
              <w:tab/>
              <w:t>154</w:t>
            </w:r>
          </w:hyperlink>
        </w:p>
        <w:p w14:paraId="70E0CE62"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webHidden/>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7B5A78C3" w14:textId="77777777" w:rsidR="00CD5946" w:rsidRDefault="00CD5946">
          <w:pPr>
            <w:pStyle w:val="TOC2"/>
            <w:tabs>
              <w:tab w:val="clear" w:pos="9077"/>
              <w:tab w:val="right" w:leader="dot" w:pos="9359"/>
            </w:tabs>
          </w:pPr>
          <w:hyperlink w:anchor="__RefHeading___Toc9591_1729075678" w:tooltip="1. Scope النطاق">
            <w:r>
              <w:rPr>
                <w:rStyle w:val="IndexLink"/>
                <w:webHidden/>
              </w:rPr>
              <w:t>1. Scope</w:t>
            </w:r>
            <w:r>
              <w:rPr>
                <w:rStyle w:val="IndexLink"/>
              </w:rPr>
              <w:t xml:space="preserve"> </w:t>
            </w:r>
            <w:r>
              <w:rPr>
                <w:rStyle w:val="IndexLink"/>
                <w:rtl/>
              </w:rPr>
              <w:t>النطاق</w:t>
            </w:r>
            <w:r>
              <w:rPr>
                <w:rStyle w:val="IndexLink"/>
              </w:rPr>
              <w:tab/>
              <w:t>156</w:t>
            </w:r>
          </w:hyperlink>
        </w:p>
        <w:p w14:paraId="58D7D816" w14:textId="77777777" w:rsidR="00CD5946" w:rsidRDefault="00CD5946">
          <w:pPr>
            <w:pStyle w:val="TOC2"/>
            <w:tabs>
              <w:tab w:val="clear" w:pos="9077"/>
              <w:tab w:val="right" w:leader="dot" w:pos="9359"/>
            </w:tabs>
          </w:pPr>
          <w:hyperlink w:anchor="__RefHeading___Toc9593_1729075678" w:tooltip="2. The process of certification عملية الاعتماد">
            <w:r>
              <w:rPr>
                <w:rStyle w:val="IndexLink"/>
                <w:webHidden/>
              </w:rPr>
              <w:t>2. The process of certification</w:t>
            </w:r>
            <w:r>
              <w:rPr>
                <w:rStyle w:val="IndexLink"/>
              </w:rPr>
              <w:t xml:space="preserve"> </w:t>
            </w:r>
            <w:r>
              <w:rPr>
                <w:rStyle w:val="IndexLink"/>
                <w:rtl/>
              </w:rPr>
              <w:t>عملية الاعتماد</w:t>
            </w:r>
            <w:r>
              <w:rPr>
                <w:rStyle w:val="IndexLink"/>
              </w:rPr>
              <w:tab/>
              <w:t>157</w:t>
            </w:r>
          </w:hyperlink>
        </w:p>
        <w:p w14:paraId="6B899895" w14:textId="77777777" w:rsidR="00CD5946" w:rsidRDefault="00CD5946">
          <w:pPr>
            <w:pStyle w:val="TOC2"/>
            <w:tabs>
              <w:tab w:val="clear" w:pos="9077"/>
              <w:tab w:val="right" w:leader="dot" w:pos="9359"/>
            </w:tabs>
          </w:pPr>
          <w:hyperlink w:anchor="__RefHeading___Toc9595_1729075678" w:tooltip="3. Reliance, importation and sampling الاعتماد والاستيراد وأخذ العينات">
            <w:r>
              <w:rPr>
                <w:rStyle w:val="IndexLink"/>
                <w:webHidden/>
              </w:rPr>
              <w:t>3. Reliance, importation and sampling</w:t>
            </w:r>
            <w:r>
              <w:rPr>
                <w:rStyle w:val="IndexLink"/>
              </w:rPr>
              <w:t xml:space="preserve"> </w:t>
            </w:r>
            <w:r>
              <w:rPr>
                <w:rStyle w:val="IndexLink"/>
                <w:rtl/>
              </w:rPr>
              <w:t>الاعتماد والاستيراد وأخذ العينات</w:t>
            </w:r>
            <w:r>
              <w:rPr>
                <w:rStyle w:val="IndexLink"/>
              </w:rPr>
              <w:tab/>
              <w:t>157</w:t>
            </w:r>
          </w:hyperlink>
        </w:p>
        <w:p w14:paraId="18AF8F1B" w14:textId="77777777" w:rsidR="00CD5946" w:rsidRDefault="00CD5946">
          <w:pPr>
            <w:pStyle w:val="TOC2"/>
            <w:tabs>
              <w:tab w:val="clear" w:pos="9077"/>
              <w:tab w:val="right" w:leader="dot" w:pos="9359"/>
            </w:tabs>
          </w:pPr>
          <w:hyperlink w:anchor="__RefHeading___Toc9597_1729075678" w:tooltip="4. Handling of unexpected deviations معالجة الانحرافات غير المتوقّعة">
            <w:r>
              <w:rPr>
                <w:rStyle w:val="IndexLink"/>
                <w:webHidden/>
              </w:rPr>
              <w:t>4. Handling of unexpected deviations</w:t>
            </w:r>
            <w:r>
              <w:rPr>
                <w:rStyle w:val="IndexLink"/>
              </w:rPr>
              <w:t xml:space="preserve"> </w:t>
            </w:r>
            <w:r>
              <w:rPr>
                <w:rStyle w:val="IndexLink"/>
                <w:rtl/>
              </w:rPr>
              <w:t>معالجة الانحرافات غير المتوقّعة</w:t>
            </w:r>
            <w:r>
              <w:rPr>
                <w:rStyle w:val="IndexLink"/>
              </w:rPr>
              <w:tab/>
              <w:t>158</w:t>
            </w:r>
          </w:hyperlink>
        </w:p>
        <w:p w14:paraId="2211C5C5" w14:textId="77777777" w:rsidR="00CD5946" w:rsidRDefault="00CD5946">
          <w:pPr>
            <w:pStyle w:val="TOC2"/>
            <w:tabs>
              <w:tab w:val="clear" w:pos="9077"/>
              <w:tab w:val="right" w:leader="dot" w:pos="9359"/>
            </w:tabs>
          </w:pPr>
          <w:hyperlink w:anchor="__RefHeading___Toc9599_1729075678" w:tooltip="5. Routine duties of the Authorised/Qualified Person الواجبات الروتينية للشخص المؤهّل">
            <w:r>
              <w:rPr>
                <w:rStyle w:val="IndexLink"/>
                <w:webHidden/>
              </w:rPr>
              <w:t>5. Routine duties of the Authorised/Qualified Person</w:t>
            </w:r>
            <w:r>
              <w:rPr>
                <w:rStyle w:val="IndexLink"/>
              </w:rPr>
              <w:t xml:space="preserve"> </w:t>
            </w:r>
            <w:r>
              <w:rPr>
                <w:rStyle w:val="IndexLink"/>
                <w:rtl/>
              </w:rPr>
              <w:t>الواجبات الروتينية للشخص المؤهّل</w:t>
            </w:r>
            <w:r>
              <w:rPr>
                <w:rStyle w:val="IndexLink"/>
              </w:rPr>
              <w:tab/>
              <w:t>158</w:t>
            </w:r>
          </w:hyperlink>
        </w:p>
        <w:p w14:paraId="1EDCCA92" w14:textId="77777777" w:rsidR="00CD5946" w:rsidRDefault="00CD5946">
          <w:pPr>
            <w:pStyle w:val="TOC2"/>
            <w:tabs>
              <w:tab w:val="clear" w:pos="9077"/>
              <w:tab w:val="right" w:leader="dot" w:pos="9359"/>
            </w:tabs>
          </w:pPr>
          <w:hyperlink w:anchor="__RefHeading___Toc9601_1729075678" w:tooltip="6. Glossary (Annex 16) مسرد الملحق ⁦16⁩">
            <w:r>
              <w:rPr>
                <w:rStyle w:val="IndexLink"/>
                <w:webHidden/>
              </w:rPr>
              <w:t>6. Glossary (Annex 16)</w:t>
            </w:r>
            <w:r>
              <w:rPr>
                <w:rStyle w:val="IndexLink"/>
              </w:rPr>
              <w:t xml:space="preserve"> </w:t>
            </w:r>
            <w:r>
              <w:rPr>
                <w:rStyle w:val="IndexLink"/>
                <w:rtl/>
              </w:rPr>
              <w:t>مسرد الملحق ⁦</w:t>
            </w:r>
            <w:r>
              <w:rPr>
                <w:rStyle w:val="IndexLink"/>
              </w:rPr>
              <w:t>16⁩</w:t>
              <w:tab/>
              <w:t>158</w:t>
            </w:r>
          </w:hyperlink>
        </w:p>
        <w:p w14:paraId="1753F8C4" w14:textId="77777777" w:rsidR="00CD5946" w:rsidRDefault="00CD5946">
          <w:pPr>
            <w:pStyle w:val="TOC1"/>
            <w:tabs>
              <w:tab w:val="clear" w:pos="9360"/>
              <w:tab w:val="right" w:leader="dot" w:pos="9359"/>
            </w:tabs>
          </w:pPr>
          <w:hyperlink w:anchor="__RefHeading___Toc9603_1729075678" w:tooltip="Contents">
            <w:r>
              <w:rPr>
                <w:rStyle w:val="IndexLink"/>
                <w:webHidden/>
              </w:rPr>
              <w:t>Contents</w:t>
            </w:r>
            <w:r>
              <w:rPr>
                <w:rStyle w:val="IndexLink"/>
              </w:rPr>
              <w:tab/>
              <w:t>160</w:t>
            </w:r>
          </w:hyperlink>
        </w:p>
        <w:p w14:paraId="0B7B33C0"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webHidden/>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107CF73D" w14:textId="77777777" w:rsidR="00CD5946" w:rsidRDefault="00CD5946">
          <w:pPr>
            <w:pStyle w:val="TOC2"/>
            <w:tabs>
              <w:tab w:val="clear" w:pos="9077"/>
              <w:tab w:val="right" w:leader="dot" w:pos="9359"/>
            </w:tabs>
          </w:pPr>
          <w:hyperlink w:anchor="__RefHeading___Toc9607_1729075678" w:tooltip="1. Requirements for RTRT and parametric release متطلبات RTRT والإفراج البارامتري">
            <w:r>
              <w:rPr>
                <w:rStyle w:val="IndexLink"/>
                <w:webHidden/>
              </w:rPr>
              <w:t>1. Requirements for RTRT and parametric release</w:t>
            </w:r>
            <w:r>
              <w:rPr>
                <w:rStyle w:val="IndexLink"/>
              </w:rPr>
              <w:t xml:space="preserve"> </w:t>
            </w:r>
            <w:r>
              <w:rPr>
                <w:rStyle w:val="IndexLink"/>
                <w:rtl/>
              </w:rPr>
              <w:t>متطلبات</w:t>
            </w:r>
            <w:r>
              <w:rPr>
                <w:rStyle w:val="IndexLink"/>
              </w:rPr>
              <w:t xml:space="preserve"> RTRT </w:t>
            </w:r>
            <w:r>
              <w:rPr>
                <w:rStyle w:val="IndexLink"/>
                <w:rtl/>
              </w:rPr>
              <w:t>والإفراج البارامتري</w:t>
            </w:r>
            <w:r>
              <w:rPr>
                <w:rStyle w:val="IndexLink"/>
              </w:rPr>
              <w:tab/>
              <w:t>163</w:t>
            </w:r>
          </w:hyperlink>
        </w:p>
        <w:p w14:paraId="25259243" w14:textId="77777777" w:rsidR="00CD5946" w:rsidRDefault="00CD5946">
          <w:pPr>
            <w:pStyle w:val="TOC2"/>
            <w:tabs>
              <w:tab w:val="clear" w:pos="9077"/>
              <w:tab w:val="right" w:leader="dot" w:pos="9359"/>
            </w:tabs>
          </w:pPr>
          <w:hyperlink w:anchor="__RefHeading___Toc9609_1729075678" w:tooltip="2. Glossary (Annex 17) مسرد الملحق ⁦17⁩">
            <w:r>
              <w:rPr>
                <w:rStyle w:val="IndexLink"/>
                <w:webHidden/>
              </w:rPr>
              <w:t>2. Glossary (Annex 17)</w:t>
            </w:r>
            <w:r>
              <w:rPr>
                <w:rStyle w:val="IndexLink"/>
              </w:rPr>
              <w:t xml:space="preserve"> </w:t>
            </w:r>
            <w:r>
              <w:rPr>
                <w:rStyle w:val="IndexLink"/>
                <w:rtl/>
              </w:rPr>
              <w:t>مسرد الملحق ⁦</w:t>
            </w:r>
            <w:r>
              <w:rPr>
                <w:rStyle w:val="IndexLink"/>
              </w:rPr>
              <w:t>17⁩</w:t>
              <w:tab/>
              <w:t>163</w:t>
            </w:r>
          </w:hyperlink>
        </w:p>
        <w:p w14:paraId="2D68E989" w14:textId="77777777" w:rsidR="00CD5946" w:rsidRDefault="00CD5946">
          <w:pPr>
            <w:pStyle w:val="TOC1"/>
            <w:tabs>
              <w:tab w:val="clear" w:pos="9360"/>
              <w:tab w:val="right" w:leader="dot" w:pos="9359"/>
            </w:tabs>
          </w:pPr>
          <w:hyperlink w:anchor="__RefHeading___Toc9611_1729075678" w:tooltip="Contents">
            <w:r>
              <w:rPr>
                <w:rStyle w:val="IndexLink"/>
                <w:webHidden/>
              </w:rPr>
              <w:t>Contents</w:t>
            </w:r>
            <w:r>
              <w:rPr>
                <w:rStyle w:val="IndexLink"/>
              </w:rPr>
              <w:tab/>
              <w:t>165</w:t>
            </w:r>
          </w:hyperlink>
        </w:p>
        <w:p w14:paraId="2CD3F467"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webHidden/>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5A53DFC5" w14:textId="77777777" w:rsidR="00CD5946" w:rsidRDefault="00CD5946">
          <w:pPr>
            <w:pStyle w:val="TOC2"/>
            <w:tabs>
              <w:tab w:val="clear" w:pos="9077"/>
              <w:tab w:val="right" w:leader="dot" w:pos="9359"/>
            </w:tabs>
          </w:pPr>
          <w:hyperlink w:anchor="__RefHeading___Toc9615_1729075678" w:tooltip="1. Quantity and storage الكمية والتخزين">
            <w:r>
              <w:rPr>
                <w:rStyle w:val="IndexLink"/>
                <w:webHidden/>
              </w:rPr>
              <w:t>1. Quantity and storage</w:t>
            </w:r>
            <w:r>
              <w:rPr>
                <w:rStyle w:val="IndexLink"/>
              </w:rPr>
              <w:t xml:space="preserve"> </w:t>
            </w:r>
            <w:r>
              <w:rPr>
                <w:rStyle w:val="IndexLink"/>
                <w:rtl/>
              </w:rPr>
              <w:t>الكمية والتخزين</w:t>
            </w:r>
            <w:r>
              <w:rPr>
                <w:rStyle w:val="IndexLink"/>
              </w:rPr>
              <w:tab/>
              <w:t>168</w:t>
            </w:r>
          </w:hyperlink>
        </w:p>
        <w:p w14:paraId="5EBC65ED" w14:textId="77777777" w:rsidR="00CD5946" w:rsidRDefault="00CD5946">
          <w:pPr>
            <w:pStyle w:val="TOC2"/>
            <w:tabs>
              <w:tab w:val="clear" w:pos="9077"/>
              <w:tab w:val="right" w:leader="dot" w:pos="9359"/>
            </w:tabs>
          </w:pPr>
          <w:hyperlink w:anchor="__RefHeading___Toc9617_1729075678" w:tooltip="2. Glossary (Annex 19) مسرد الملحق ⁦19⁩">
            <w:r>
              <w:rPr>
                <w:rStyle w:val="IndexLink"/>
                <w:webHidden/>
              </w:rPr>
              <w:t>2. Glossary (Annex 19)</w:t>
            </w:r>
            <w:r>
              <w:rPr>
                <w:rStyle w:val="IndexLink"/>
              </w:rPr>
              <w:t xml:space="preserve"> </w:t>
            </w:r>
            <w:r>
              <w:rPr>
                <w:rStyle w:val="IndexLink"/>
                <w:rtl/>
              </w:rPr>
              <w:t>مسرد الملحق ⁦</w:t>
            </w:r>
            <w:r>
              <w:rPr>
                <w:rStyle w:val="IndexLink"/>
              </w:rPr>
              <w:t>19⁩</w:t>
              <w:tab/>
              <w:t>168</w:t>
            </w:r>
          </w:hyperlink>
        </w:p>
        <w:p w14:paraId="7C9F1B5F" w14:textId="77777777" w:rsidR="00CD5946" w:rsidRDefault="00CD5946">
          <w:pPr>
            <w:pStyle w:val="TOC1"/>
            <w:tabs>
              <w:tab w:val="clear" w:pos="9360"/>
              <w:tab w:val="right" w:leader="dot" w:pos="9359"/>
            </w:tabs>
          </w:pPr>
          <w:hyperlink w:anchor="__RefHeading___Toc9619_1729075678" w:tooltip="Contents">
            <w:r>
              <w:rPr>
                <w:rStyle w:val="IndexLink"/>
                <w:webHidden/>
              </w:rPr>
              <w:t>Contents</w:t>
            </w:r>
            <w:r>
              <w:rPr>
                <w:rStyle w:val="IndexLink"/>
              </w:rPr>
              <w:tab/>
              <w:t>170</w:t>
            </w:r>
          </w:hyperlink>
        </w:p>
        <w:p w14:paraId="7EEA0963"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webHidden/>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73772129" w14:textId="77777777" w:rsidR="00CD5946" w:rsidRDefault="00CD5946">
          <w:pPr>
            <w:pStyle w:val="TOC2"/>
            <w:tabs>
              <w:tab w:val="clear" w:pos="9077"/>
              <w:tab w:val="right" w:leader="dot" w:pos="9359"/>
            </w:tabs>
          </w:pPr>
          <w:hyperlink w:anchor="__RefHeading___Toc9623_1729075678" w:tooltip="1. Responsibilities of the importation site مسؤوليات موقع الاستيراد">
            <w:r>
              <w:rPr>
                <w:rStyle w:val="IndexLink"/>
                <w:webHidden/>
              </w:rPr>
              <w:t>1. Responsibilities of the importation site</w:t>
            </w:r>
            <w:r>
              <w:rPr>
                <w:rStyle w:val="IndexLink"/>
              </w:rPr>
              <w:t xml:space="preserve"> </w:t>
            </w:r>
            <w:r>
              <w:rPr>
                <w:rStyle w:val="IndexLink"/>
                <w:rtl/>
              </w:rPr>
              <w:t>مسؤوليات موقع الاستيراد</w:t>
            </w:r>
            <w:r>
              <w:rPr>
                <w:rStyle w:val="IndexLink"/>
              </w:rPr>
              <w:tab/>
              <w:t>173</w:t>
            </w:r>
          </w:hyperlink>
        </w:p>
        <w:p w14:paraId="3C400806" w14:textId="77777777" w:rsidR="00CD5946" w:rsidRDefault="00CD5946">
          <w:pPr>
            <w:pStyle w:val="TOC2"/>
            <w:tabs>
              <w:tab w:val="clear" w:pos="9077"/>
              <w:tab w:val="right" w:leader="dot" w:pos="9359"/>
            </w:tabs>
          </w:pPr>
          <w:hyperlink w:anchor="__RefHeading___Toc9625_1729075678" w:tooltip="2. Glossary (Annex 21) مسرد الملحق ⁦21⁩">
            <w:r>
              <w:rPr>
                <w:rStyle w:val="IndexLink"/>
                <w:webHidden/>
              </w:rPr>
              <w:t>2. Glossary (Annex 21)</w:t>
            </w:r>
            <w:r>
              <w:rPr>
                <w:rStyle w:val="IndexLink"/>
              </w:rPr>
              <w:t xml:space="preserve"> </w:t>
            </w:r>
            <w:r>
              <w:rPr>
                <w:rStyle w:val="IndexLink"/>
                <w:rtl/>
              </w:rPr>
              <w:t>مسرد الملحق ⁦</w:t>
            </w:r>
            <w:r>
              <w:rPr>
                <w:rStyle w:val="IndexLink"/>
              </w:rPr>
              <w:t>21⁩</w:t>
              <w:tab/>
              <w:t>173</w:t>
            </w:r>
          </w:hyperlink>
        </w:p>
        <w:p w14:paraId="7F8097D5" w14:textId="77777777" w:rsidR="00CD5946" w:rsidRDefault="00CD5946">
          <w:pPr>
            <w:pStyle w:val="TOC1"/>
            <w:tabs>
              <w:tab w:val="clear" w:pos="9360"/>
              <w:tab w:val="right" w:leader="dot" w:pos="9359"/>
            </w:tabs>
          </w:pPr>
          <w:hyperlink w:anchor="__RefHeading___Toc9627_1729075678" w:tooltip="Contents">
            <w:r>
              <w:rPr>
                <w:rStyle w:val="IndexLink"/>
                <w:webHidden/>
              </w:rPr>
              <w:t>Contents</w:t>
            </w:r>
            <w:r>
              <w:rPr>
                <w:rStyle w:val="IndexLink"/>
              </w:rPr>
              <w:tab/>
              <w:t>175</w:t>
            </w:r>
          </w:hyperlink>
        </w:p>
        <w:p w14:paraId="034DB56D"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webHidden/>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5735D191" w14:textId="77777777" w:rsidR="00CD5946" w:rsidRDefault="00CD5946">
          <w:pPr>
            <w:pStyle w:val="TOC2"/>
            <w:tabs>
              <w:tab w:val="clear" w:pos="9077"/>
              <w:tab w:val="right" w:leader="dot" w:pos="9359"/>
            </w:tabs>
          </w:pPr>
          <w:hyperlink w:anchor="__RefHeading___Toc9631_1729075678" w:tooltip="1. Data governance and ALCOA+ حوكمة البيانات وALCOA+">
            <w:r>
              <w:rPr>
                <w:rStyle w:val="IndexLink"/>
                <w:webHidden/>
              </w:rPr>
              <w:t>1. Data governance and ALCOA+</w:t>
            </w:r>
            <w:r>
              <w:rPr>
                <w:rStyle w:val="IndexLink"/>
              </w:rPr>
              <w:t xml:space="preserve"> </w:t>
            </w:r>
            <w:r>
              <w:rPr>
                <w:rStyle w:val="IndexLink"/>
                <w:rtl/>
              </w:rPr>
              <w:t>حوكمة البيانات و</w:t>
            </w:r>
            <w:r>
              <w:rPr>
                <w:rStyle w:val="IndexLink"/>
              </w:rPr>
              <w:t>ALCOA+</w:t>
              <w:tab/>
              <w:t>175</w:t>
            </w:r>
          </w:hyperlink>
        </w:p>
        <w:p w14:paraId="46B57FA5" w14:textId="77777777" w:rsidR="00CD5946" w:rsidRDefault="00CD5946">
          <w:pPr>
            <w:pStyle w:val="TOC2"/>
            <w:tabs>
              <w:tab w:val="clear" w:pos="9077"/>
              <w:tab w:val="right" w:leader="dot" w:pos="9359"/>
            </w:tabs>
          </w:pPr>
          <w:hyperlink w:anchor="__RefHeading___Toc9633_1729075678" w:tooltip="2. Glossary (Annex A-DI) مسرد A-DI">
            <w:r>
              <w:rPr>
                <w:rStyle w:val="IndexLink"/>
                <w:webHidden/>
              </w:rPr>
              <w:t>2. Glossary (Annex A-DI)</w:t>
            </w:r>
            <w:r>
              <w:rPr>
                <w:rStyle w:val="IndexLink"/>
              </w:rPr>
              <w:t xml:space="preserve"> </w:t>
            </w:r>
            <w:r>
              <w:rPr>
                <w:rStyle w:val="IndexLink"/>
                <w:rtl/>
              </w:rPr>
              <w:t>مسرد</w:t>
            </w:r>
            <w:r>
              <w:rPr>
                <w:rStyle w:val="IndexLink"/>
              </w:rPr>
              <w:t xml:space="preserve"> A-DI</w:t>
              <w:tab/>
              <w:t>175</w:t>
            </w:r>
          </w:hyperlink>
        </w:p>
        <w:p w14:paraId="3BEEB0DD" w14:textId="77777777" w:rsidR="00CD5946" w:rsidRDefault="00CD5946">
          <w:pPr>
            <w:pStyle w:val="TOC1"/>
            <w:tabs>
              <w:tab w:val="clear" w:pos="9360"/>
              <w:tab w:val="right" w:leader="dot" w:pos="9359"/>
            </w:tabs>
          </w:pPr>
          <w:hyperlink w:anchor="__RefHeading___Toc9635_1729075678" w:tooltip="Contents">
            <w:r>
              <w:rPr>
                <w:rStyle w:val="IndexLink"/>
                <w:webHidden/>
              </w:rPr>
              <w:t>Contents</w:t>
            </w:r>
            <w:r>
              <w:rPr>
                <w:rStyle w:val="IndexLink"/>
              </w:rPr>
              <w:tab/>
              <w:t>175</w:t>
            </w:r>
          </w:hyperlink>
        </w:p>
        <w:p w14:paraId="4F03D28B"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webHidden/>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60B10A8B" w14:textId="77777777" w:rsidR="00CD5946" w:rsidRDefault="00CD5946">
          <w:pPr>
            <w:pStyle w:val="TOC2"/>
            <w:tabs>
              <w:tab w:val="clear" w:pos="9077"/>
              <w:tab w:val="right" w:leader="dot" w:pos="9359"/>
            </w:tabs>
          </w:pPr>
          <w:hyperlink w:anchor="__RefHeading___Toc9639_1729075678" w:tooltip="1. Elements of the CCS عناصر الاستراتيجية">
            <w:r>
              <w:rPr>
                <w:rStyle w:val="IndexLink"/>
                <w:webHidden/>
              </w:rPr>
              <w:t>1. Elements of the CCS</w:t>
            </w:r>
            <w:r>
              <w:rPr>
                <w:rStyle w:val="IndexLink"/>
              </w:rPr>
              <w:t xml:space="preserve"> </w:t>
            </w:r>
            <w:r>
              <w:rPr>
                <w:rStyle w:val="IndexLink"/>
                <w:rtl/>
              </w:rPr>
              <w:t>عناصر الاستراتيجية</w:t>
            </w:r>
            <w:r>
              <w:rPr>
                <w:rStyle w:val="IndexLink"/>
              </w:rPr>
              <w:tab/>
              <w:t>183</w:t>
            </w:r>
          </w:hyperlink>
        </w:p>
        <w:p w14:paraId="02EE4D7E" w14:textId="77777777" w:rsidR="00CD5946" w:rsidRDefault="00CD5946">
          <w:pPr>
            <w:pStyle w:val="TOC2"/>
            <w:tabs>
              <w:tab w:val="clear" w:pos="9077"/>
              <w:tab w:val="right" w:leader="dot" w:pos="9359"/>
            </w:tabs>
          </w:pPr>
          <w:hyperlink w:anchor="__RefHeading___Toc9641_1729075678" w:tooltip="2. Glossary (Annex A-CCS) مسرد A-CCS">
            <w:r>
              <w:rPr>
                <w:rStyle w:val="IndexLink"/>
                <w:webHidden/>
              </w:rPr>
              <w:t>2. Glossary (Annex A-CCS)</w:t>
            </w:r>
            <w:r>
              <w:rPr>
                <w:rStyle w:val="IndexLink"/>
              </w:rPr>
              <w:t xml:space="preserve"> </w:t>
            </w:r>
            <w:r>
              <w:rPr>
                <w:rStyle w:val="IndexLink"/>
                <w:rtl/>
              </w:rPr>
              <w:t>مسرد</w:t>
            </w:r>
            <w:r>
              <w:rPr>
                <w:rStyle w:val="IndexLink"/>
              </w:rPr>
              <w:t xml:space="preserve"> A-CCS</w:t>
              <w:tab/>
              <w:t>183</w:t>
            </w:r>
          </w:hyperlink>
        </w:p>
        <w:p w14:paraId="0B1F89D5" w14:textId="77777777" w:rsidR="00CD5946" w:rsidRDefault="00CD5946">
          <w:pPr>
            <w:pStyle w:val="TOC1"/>
            <w:tabs>
              <w:tab w:val="clear" w:pos="9360"/>
              <w:tab w:val="right" w:leader="dot" w:pos="9359"/>
            </w:tabs>
          </w:pPr>
          <w:hyperlink w:anchor="__RefHeading___Toc9643_1729075678" w:tooltip="Contents">
            <w:r>
              <w:rPr>
                <w:rStyle w:val="IndexLink"/>
                <w:webHidden/>
              </w:rPr>
              <w:t>Contents</w:t>
            </w:r>
            <w:r>
              <w:rPr>
                <w:rStyle w:val="IndexLink"/>
              </w:rPr>
              <w:tab/>
              <w:t>184</w:t>
            </w:r>
          </w:hyperlink>
        </w:p>
        <w:p w14:paraId="53F7668E"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webHidden/>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55262C91" w14:textId="77777777" w:rsidR="00CD5946" w:rsidRDefault="00CD5946">
          <w:pPr>
            <w:pStyle w:val="TOC2"/>
            <w:tabs>
              <w:tab w:val="clear" w:pos="9077"/>
              <w:tab w:val="right" w:leader="dot" w:pos="9359"/>
            </w:tabs>
          </w:pPr>
          <w:hyperlink w:anchor="__RefHeading___Toc9647_1729075678" w:tooltip="1. Quality limits حدود الجودة">
            <w:r>
              <w:rPr>
                <w:rStyle w:val="IndexLink"/>
                <w:webHidden/>
              </w:rPr>
              <w:t>1. Quality limits</w:t>
            </w:r>
            <w:r>
              <w:rPr>
                <w:rStyle w:val="IndexLink"/>
              </w:rPr>
              <w:t xml:space="preserve"> </w:t>
            </w:r>
            <w:r>
              <w:rPr>
                <w:rStyle w:val="IndexLink"/>
                <w:rtl/>
              </w:rPr>
              <w:t>حدود الجودة</w:t>
            </w:r>
            <w:r>
              <w:rPr>
                <w:rStyle w:val="IndexLink"/>
              </w:rPr>
              <w:tab/>
              <w:t>187</w:t>
            </w:r>
          </w:hyperlink>
        </w:p>
        <w:p w14:paraId="3488A32C" w14:textId="77777777" w:rsidR="00CD5946" w:rsidRDefault="00CD5946">
          <w:pPr>
            <w:pStyle w:val="TOC2"/>
            <w:tabs>
              <w:tab w:val="clear" w:pos="9077"/>
              <w:tab w:val="right" w:leader="dot" w:pos="9359"/>
            </w:tabs>
          </w:pPr>
          <w:hyperlink w:anchor="__RefHeading___Toc9649_1729075678" w:tooltip="2. Glossary (Annex A-WAT) مسرد A-WAT">
            <w:r>
              <w:rPr>
                <w:rStyle w:val="IndexLink"/>
                <w:webHidden/>
              </w:rPr>
              <w:t>2. Glossary (Annex A-WAT)</w:t>
            </w:r>
            <w:r>
              <w:rPr>
                <w:rStyle w:val="IndexLink"/>
              </w:rPr>
              <w:t xml:space="preserve"> </w:t>
            </w:r>
            <w:r>
              <w:rPr>
                <w:rStyle w:val="IndexLink"/>
                <w:rtl/>
              </w:rPr>
              <w:t>مسرد</w:t>
            </w:r>
            <w:r>
              <w:rPr>
                <w:rStyle w:val="IndexLink"/>
              </w:rPr>
              <w:t xml:space="preserve"> A-WAT</w:t>
              <w:tab/>
              <w:t>187</w:t>
            </w:r>
          </w:hyperlink>
        </w:p>
        <w:p w14:paraId="78E8A96B" w14:textId="77777777" w:rsidR="00CD5946" w:rsidRDefault="00CD5946">
          <w:pPr>
            <w:pStyle w:val="TOC1"/>
            <w:tabs>
              <w:tab w:val="clear" w:pos="9360"/>
              <w:tab w:val="right" w:leader="dot" w:pos="9359"/>
            </w:tabs>
          </w:pPr>
          <w:hyperlink w:anchor="__RefHeading___Toc9651_1729075678" w:tooltip="Contents">
            <w:r>
              <w:rPr>
                <w:rStyle w:val="IndexLink"/>
                <w:webHidden/>
              </w:rPr>
              <w:t>Contents</w:t>
            </w:r>
            <w:r>
              <w:rPr>
                <w:rStyle w:val="IndexLink"/>
              </w:rPr>
              <w:tab/>
              <w:t>189</w:t>
            </w:r>
          </w:hyperlink>
        </w:p>
        <w:p w14:paraId="10B8774B"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webHidden/>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0FC530D2" w14:textId="77777777" w:rsidR="00CD5946" w:rsidRDefault="00CD5946">
          <w:pPr>
            <w:pStyle w:val="TOC2"/>
            <w:tabs>
              <w:tab w:val="clear" w:pos="9077"/>
              <w:tab w:val="right" w:leader="dot" w:pos="9359"/>
            </w:tabs>
          </w:pPr>
          <w:hyperlink w:anchor="__RefHeading___Toc9655_1729075678" w:tooltip="1. Grades and particle limits الدرجات وحدود الجسيمات">
            <w:r>
              <w:rPr>
                <w:rStyle w:val="IndexLink"/>
                <w:webHidden/>
              </w:rPr>
              <w:t>1. Grades and particle limits</w:t>
            </w:r>
            <w:r>
              <w:rPr>
                <w:rStyle w:val="IndexLink"/>
              </w:rPr>
              <w:t xml:space="preserve"> </w:t>
            </w:r>
            <w:r>
              <w:rPr>
                <w:rStyle w:val="IndexLink"/>
                <w:rtl/>
              </w:rPr>
              <w:t>الدرجات وحدود الجسيمات</w:t>
            </w:r>
            <w:r>
              <w:rPr>
                <w:rStyle w:val="IndexLink"/>
              </w:rPr>
              <w:tab/>
              <w:t>191</w:t>
            </w:r>
          </w:hyperlink>
        </w:p>
        <w:p w14:paraId="1AEEA116" w14:textId="77777777" w:rsidR="00CD5946" w:rsidRDefault="00CD5946">
          <w:pPr>
            <w:pStyle w:val="TOC2"/>
            <w:tabs>
              <w:tab w:val="clear" w:pos="9077"/>
              <w:tab w:val="right" w:leader="dot" w:pos="9359"/>
            </w:tabs>
          </w:pPr>
          <w:hyperlink w:anchor="__RefHeading___Toc9657_1729075678" w:tooltip="2. Glossary (Annex A-CR) مسرد A-CR">
            <w:r>
              <w:rPr>
                <w:rStyle w:val="IndexLink"/>
                <w:webHidden/>
              </w:rPr>
              <w:t>2. Glossary (Annex A-CR)</w:t>
            </w:r>
            <w:r>
              <w:rPr>
                <w:rStyle w:val="IndexLink"/>
              </w:rPr>
              <w:t xml:space="preserve"> </w:t>
            </w:r>
            <w:r>
              <w:rPr>
                <w:rStyle w:val="IndexLink"/>
                <w:rtl/>
              </w:rPr>
              <w:t>مسرد</w:t>
            </w:r>
            <w:r>
              <w:rPr>
                <w:rStyle w:val="IndexLink"/>
              </w:rPr>
              <w:t xml:space="preserve"> A-CR</w:t>
              <w:tab/>
              <w:t>191</w:t>
            </w:r>
          </w:hyperlink>
        </w:p>
        <w:p w14:paraId="4FA696B1" w14:textId="77777777" w:rsidR="00CD5946" w:rsidRDefault="00CD5946">
          <w:pPr>
            <w:pStyle w:val="TOC1"/>
            <w:tabs>
              <w:tab w:val="clear" w:pos="9360"/>
              <w:tab w:val="right" w:leader="dot" w:pos="9359"/>
            </w:tabs>
          </w:pPr>
          <w:hyperlink w:anchor="__RefHeading___Toc9659_1729075678" w:tooltip="Contents">
            <w:r>
              <w:rPr>
                <w:rStyle w:val="IndexLink"/>
                <w:webHidden/>
              </w:rPr>
              <w:t>Contents</w:t>
            </w:r>
            <w:r>
              <w:rPr>
                <w:rStyle w:val="IndexLink"/>
              </w:rPr>
              <w:tab/>
              <w:t>191</w:t>
            </w:r>
          </w:hyperlink>
        </w:p>
        <w:p w14:paraId="44EFEC00"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webHidden/>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433DA4D3" w14:textId="77777777" w:rsidR="00CD5946" w:rsidRDefault="00CD5946">
          <w:pPr>
            <w:pStyle w:val="TOC2"/>
            <w:tabs>
              <w:tab w:val="clear" w:pos="9077"/>
              <w:tab w:val="right" w:leader="dot" w:pos="9359"/>
            </w:tabs>
          </w:pPr>
          <w:hyperlink w:anchor="__RefHeading___Toc27251_1120453586" w:tooltip="Scope · النطاق">
            <w:r>
              <w:rPr>
                <w:rStyle w:val="IndexLink"/>
                <w:webHidden/>
              </w:rPr>
              <w:t xml:space="preserve">Scope · </w:t>
            </w:r>
            <w:r>
              <w:rPr>
                <w:rStyle w:val="IndexLink"/>
                <w:rtl/>
              </w:rPr>
              <w:t>النطاق</w:t>
            </w:r>
            <w:r>
              <w:rPr>
                <w:rStyle w:val="IndexLink"/>
              </w:rPr>
              <w:tab/>
              <w:t>191</w:t>
            </w:r>
          </w:hyperlink>
        </w:p>
        <w:p w14:paraId="2EE910EA" w14:textId="77777777" w:rsidR="00CD5946" w:rsidRDefault="00CD5946">
          <w:pPr>
            <w:pStyle w:val="TOC2"/>
            <w:tabs>
              <w:tab w:val="clear" w:pos="9077"/>
              <w:tab w:val="right" w:leader="dot" w:pos="9359"/>
            </w:tabs>
          </w:pPr>
          <w:hyperlink w:anchor="__RefHeading___Toc27253_1120453586" w:tooltip="1. Quality system and the Responsible Person · نظام الجودة والشخص المسؤول">
            <w:r>
              <w:rPr>
                <w:rStyle w:val="IndexLink"/>
                <w:webHidden/>
              </w:rPr>
              <w:t xml:space="preserve">1. Quality system and the Responsible Person · </w:t>
            </w:r>
            <w:r>
              <w:rPr>
                <w:rStyle w:val="IndexLink"/>
                <w:rtl/>
              </w:rPr>
              <w:t>نظام الجودة والشخص المسؤول</w:t>
            </w:r>
            <w:r>
              <w:rPr>
                <w:rStyle w:val="IndexLink"/>
              </w:rPr>
              <w:tab/>
              <w:t>197</w:t>
            </w:r>
          </w:hyperlink>
        </w:p>
        <w:p w14:paraId="3E3AA7D1" w14:textId="77777777" w:rsidR="00CD5946" w:rsidRDefault="00CD5946">
          <w:pPr>
            <w:pStyle w:val="TOC2"/>
            <w:tabs>
              <w:tab w:val="clear" w:pos="9077"/>
              <w:tab w:val="right" w:leader="dot" w:pos="9359"/>
            </w:tabs>
          </w:pPr>
          <w:hyperlink w:anchor="__RefHeading___Toc27255_1120453586" w:tooltip="2. Personnel and training · الأفراد والتدريب">
            <w:r>
              <w:rPr>
                <w:rStyle w:val="IndexLink"/>
                <w:webHidden/>
              </w:rPr>
              <w:t xml:space="preserve">2. Personnel and training · </w:t>
            </w:r>
            <w:r>
              <w:rPr>
                <w:rStyle w:val="IndexLink"/>
                <w:rtl/>
              </w:rPr>
              <w:t>الأفراد والتدريب</w:t>
            </w:r>
            <w:r>
              <w:rPr>
                <w:rStyle w:val="IndexLink"/>
              </w:rPr>
              <w:tab/>
              <w:t>197</w:t>
            </w:r>
          </w:hyperlink>
        </w:p>
        <w:p w14:paraId="6B44C95A" w14:textId="77777777" w:rsidR="00CD5946" w:rsidRDefault="00CD5946">
          <w:pPr>
            <w:pStyle w:val="TOC2"/>
            <w:tabs>
              <w:tab w:val="clear" w:pos="9077"/>
              <w:tab w:val="right" w:leader="dot" w:pos="9359"/>
            </w:tabs>
          </w:pPr>
          <w:hyperlink w:anchor="__RefHeading___Toc27257_1120453586" w:tooltip="3. Premises, temperature control and the cold chain · المباني وضبط الحرارة وسلسلة التبريد">
            <w:r>
              <w:rPr>
                <w:rStyle w:val="IndexLink"/>
                <w:webHidden/>
              </w:rPr>
              <w:t xml:space="preserve">3. Premises, temperature control and the cold chain · </w:t>
            </w:r>
            <w:r>
              <w:rPr>
                <w:rStyle w:val="IndexLink"/>
                <w:rtl/>
              </w:rPr>
              <w:t>المباني وضبط الحرارة وسلسلة التبريد</w:t>
            </w:r>
            <w:r>
              <w:rPr>
                <w:rStyle w:val="IndexLink"/>
              </w:rPr>
              <w:tab/>
              <w:t>197</w:t>
            </w:r>
          </w:hyperlink>
        </w:p>
        <w:p w14:paraId="48ED6606" w14:textId="77777777" w:rsidR="00CD5946" w:rsidRDefault="00CD5946">
          <w:pPr>
            <w:pStyle w:val="TOC2"/>
            <w:tabs>
              <w:tab w:val="clear" w:pos="9077"/>
              <w:tab w:val="right" w:leader="dot" w:pos="9359"/>
            </w:tabs>
          </w:pPr>
          <w:hyperlink w:anchor="__RefHeading___Toc27259_1120453586" w:tooltip="4. Documentation and traceability · التوثيق وقابلية التتبّع">
            <w:r>
              <w:rPr>
                <w:rStyle w:val="IndexLink"/>
                <w:webHidden/>
              </w:rPr>
              <w:t xml:space="preserve">4. Documentation and traceability · </w:t>
            </w:r>
            <w:r>
              <w:rPr>
                <w:rStyle w:val="IndexLink"/>
                <w:rtl/>
              </w:rPr>
              <w:t>التوثيق وقابلية التتبّع</w:t>
            </w:r>
            <w:r>
              <w:rPr>
                <w:rStyle w:val="IndexLink"/>
              </w:rPr>
              <w:tab/>
              <w:t>197</w:t>
            </w:r>
          </w:hyperlink>
        </w:p>
        <w:p w14:paraId="566FD669" w14:textId="77777777" w:rsidR="00CD5946" w:rsidRDefault="00CD5946">
          <w:pPr>
            <w:pStyle w:val="TOC2"/>
            <w:tabs>
              <w:tab w:val="clear" w:pos="9077"/>
              <w:tab w:val="right" w:leader="dot" w:pos="9359"/>
            </w:tabs>
          </w:pPr>
          <w:hyperlink w:anchor="__RefHeading___Toc27261_1120453586" w:tooltip="5. Operations — qualification, receipt, storage and supply · العمليات: التأهيل والاستلام والتخزين والتوريد">
            <w:r>
              <w:rPr>
                <w:rStyle w:val="IndexLink"/>
                <w:webHidden/>
              </w:rPr>
              <w:t xml:space="preserve">5. Operations — qualification, receipt, storage and supply · </w:t>
            </w:r>
            <w:r>
              <w:rPr>
                <w:rStyle w:val="IndexLink"/>
                <w:rtl/>
              </w:rPr>
              <w:t>العمليات: التأهيل والاستلام والتخزين والتوريد</w:t>
            </w:r>
            <w:r>
              <w:rPr>
                <w:rStyle w:val="IndexLink"/>
              </w:rPr>
              <w:tab/>
              <w:t>197</w:t>
            </w:r>
          </w:hyperlink>
        </w:p>
        <w:p w14:paraId="1B815902" w14:textId="77777777" w:rsidR="00CD5946" w:rsidRDefault="00CD5946">
          <w:pPr>
            <w:pStyle w:val="TOC2"/>
            <w:tabs>
              <w:tab w:val="clear" w:pos="9077"/>
              <w:tab w:val="right" w:leader="dot" w:pos="9359"/>
            </w:tabs>
          </w:pPr>
          <w:hyperlink w:anchor="__RefHeading___Toc27263_1120453586" w:tooltip="6. Complaints, returns, falsified products and recalls · الشكاوى والمرتجَعات والمنتجات المزيّفة والاستدعاءات">
            <w:r>
              <w:rPr>
                <w:rStyle w:val="IndexLink"/>
                <w:webHidden/>
              </w:rPr>
              <w:t xml:space="preserve">6. Complaints, returns, falsified products and recalls · </w:t>
            </w:r>
            <w:r>
              <w:rPr>
                <w:rStyle w:val="IndexLink"/>
                <w:rtl/>
              </w:rPr>
              <w:t>الشكاوى والمرتجَعات والمنتجات المزيّفة والاستدعاءات</w:t>
            </w:r>
            <w:r>
              <w:rPr>
                <w:rStyle w:val="IndexLink"/>
              </w:rPr>
              <w:tab/>
              <w:t>197</w:t>
            </w:r>
          </w:hyperlink>
        </w:p>
        <w:p w14:paraId="4C40538E" w14:textId="77777777" w:rsidR="00CD5946" w:rsidRDefault="00CD5946">
          <w:pPr>
            <w:pStyle w:val="TOC2"/>
            <w:tabs>
              <w:tab w:val="clear" w:pos="9077"/>
              <w:tab w:val="right" w:leader="dot" w:pos="9359"/>
            </w:tabs>
          </w:pPr>
          <w:hyperlink w:anchor="__RefHeading___Toc27265_1120453586" w:tooltip="7. Transportation and brokers · النقل والوسطاء">
            <w:r>
              <w:rPr>
                <w:rStyle w:val="IndexLink"/>
                <w:webHidden/>
              </w:rPr>
              <w:t xml:space="preserve">7. Transportation and brokers · </w:t>
            </w:r>
            <w:r>
              <w:rPr>
                <w:rStyle w:val="IndexLink"/>
                <w:rtl/>
              </w:rPr>
              <w:t>النقل والوسطاء</w:t>
            </w:r>
            <w:r>
              <w:rPr>
                <w:rStyle w:val="IndexLink"/>
              </w:rPr>
              <w:tab/>
              <w:t>197</w:t>
            </w:r>
          </w:hyperlink>
        </w:p>
        <w:p w14:paraId="5AD24068" w14:textId="77777777" w:rsidR="00CD5946" w:rsidRDefault="00CD5946">
          <w:pPr>
            <w:pStyle w:val="TOC2"/>
            <w:tabs>
              <w:tab w:val="clear" w:pos="9077"/>
              <w:tab w:val="right" w:leader="dot" w:pos="9359"/>
            </w:tabs>
          </w:pPr>
          <w:hyperlink w:anchor="__RefHeading___Toc27267_1120453586" w:tooltip="8. Glossary (Annex A-GDP) · مسرد الملحق A-GDP">
            <w:r>
              <w:rPr>
                <w:rStyle w:val="IndexLink"/>
                <w:webHidden/>
              </w:rPr>
              <w:t xml:space="preserve">8. Glossary (Annex A-GDP) · </w:t>
            </w:r>
            <w:r>
              <w:rPr>
                <w:rStyle w:val="IndexLink"/>
                <w:rtl/>
              </w:rPr>
              <w:t>مسرد الملحق</w:t>
            </w:r>
            <w:r>
              <w:rPr>
                <w:rStyle w:val="IndexLink"/>
              </w:rPr>
              <w:t xml:space="preserve"> A-GDP</w:t>
              <w:tab/>
              <w:t>197</w:t>
            </w:r>
          </w:hyperlink>
        </w:p>
        <w:p w14:paraId="4EFDBD1B"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webHidden/>
              </w:rPr>
              <w:t>Appendix A — Alignment with the ICH quality guidelines</w:t>
            </w:r>
            <w:r>
              <w:rPr>
                <w:rStyle w:val="IndexLink"/>
              </w:rPr>
              <w:tab/>
              <w:t>199</w:t>
            </w:r>
          </w:hyperlink>
        </w:p>
        <w:p w14:paraId="774CA127"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webHidden/>
              </w:rPr>
              <w:t>Appendix B — Acceptance criteria and reference-limits register</w:t>
            </w:r>
            <w:r>
              <w:rPr>
                <w:rStyle w:val="IndexLink"/>
              </w:rPr>
              <w:tab/>
              <w:t>201</w:t>
            </w:r>
          </w:hyperlink>
        </w:p>
        <w:p w14:paraId="51CF4808" w14:textId="77777777" w:rsidR="00CD5946" w:rsidRDefault="00CD5946">
          <w:pPr>
            <w:pStyle w:val="TOC3"/>
            <w:tabs>
              <w:tab w:val="clear" w:pos="8793"/>
              <w:tab w:val="right" w:leader="dot" w:pos="9359"/>
            </w:tabs>
          </w:pPr>
          <w:hyperlink w:anchor="__RefHeading___Toc9665_1729075678" w:tooltip="Quality Management System (PQS)">
            <w:r>
              <w:rPr>
                <w:rStyle w:val="IndexLink"/>
                <w:webHidden/>
              </w:rPr>
              <w:t>Quality Management System (PQS)</w:t>
            </w:r>
            <w:r>
              <w:rPr>
                <w:rStyle w:val="IndexLink"/>
              </w:rPr>
              <w:tab/>
              <w:t>201</w:t>
            </w:r>
          </w:hyperlink>
        </w:p>
        <w:p w14:paraId="180B4648" w14:textId="77777777" w:rsidR="00CD5946" w:rsidRDefault="00CD5946">
          <w:pPr>
            <w:pStyle w:val="TOC3"/>
            <w:tabs>
              <w:tab w:val="clear" w:pos="8793"/>
              <w:tab w:val="right" w:leader="dot" w:pos="9359"/>
            </w:tabs>
          </w:pPr>
          <w:hyperlink w:anchor="__RefHeading___Toc9667_1729075678" w:tooltip="Personnel, Training &amp; Hygiene">
            <w:r>
              <w:rPr>
                <w:rStyle w:val="IndexLink"/>
                <w:webHidden/>
              </w:rPr>
              <w:t>Personnel, Training &amp; Hygiene</w:t>
            </w:r>
            <w:r>
              <w:rPr>
                <w:rStyle w:val="IndexLink"/>
              </w:rPr>
              <w:tab/>
              <w:t>201</w:t>
            </w:r>
          </w:hyperlink>
        </w:p>
        <w:p w14:paraId="0393F6CD" w14:textId="77777777" w:rsidR="00CD5946" w:rsidRDefault="00CD5946">
          <w:pPr>
            <w:pStyle w:val="TOC3"/>
            <w:tabs>
              <w:tab w:val="clear" w:pos="8793"/>
              <w:tab w:val="right" w:leader="dot" w:pos="9359"/>
            </w:tabs>
          </w:pPr>
          <w:hyperlink w:anchor="__RefHeading___Toc9669_1729075678" w:tooltip="Premises &amp; Facilities">
            <w:r>
              <w:rPr>
                <w:rStyle w:val="IndexLink"/>
                <w:webHidden/>
              </w:rPr>
              <w:t>Premises &amp; Facilities</w:t>
            </w:r>
            <w:r>
              <w:rPr>
                <w:rStyle w:val="IndexLink"/>
              </w:rPr>
              <w:tab/>
              <w:t>202</w:t>
            </w:r>
          </w:hyperlink>
        </w:p>
        <w:p w14:paraId="5E6FC441" w14:textId="77777777" w:rsidR="00CD5946" w:rsidRDefault="00CD5946">
          <w:pPr>
            <w:pStyle w:val="TOC3"/>
            <w:tabs>
              <w:tab w:val="clear" w:pos="8793"/>
              <w:tab w:val="right" w:leader="dot" w:pos="9359"/>
            </w:tabs>
          </w:pPr>
          <w:hyperlink w:anchor="__RefHeading___Toc9671_1729075678" w:tooltip="HVAC &amp; Environmental Control">
            <w:r>
              <w:rPr>
                <w:rStyle w:val="IndexLink"/>
                <w:webHidden/>
              </w:rPr>
              <w:t>HVAC &amp; Environmental Control</w:t>
            </w:r>
            <w:r>
              <w:rPr>
                <w:rStyle w:val="IndexLink"/>
              </w:rPr>
              <w:tab/>
              <w:t>202</w:t>
            </w:r>
          </w:hyperlink>
        </w:p>
        <w:p w14:paraId="00C8CAC8" w14:textId="77777777" w:rsidR="00CD5946" w:rsidRDefault="00CD5946">
          <w:pPr>
            <w:pStyle w:val="TOC3"/>
            <w:tabs>
              <w:tab w:val="clear" w:pos="8793"/>
              <w:tab w:val="right" w:leader="dot" w:pos="9359"/>
            </w:tabs>
          </w:pPr>
          <w:hyperlink w:anchor="__RefHeading___Toc9673_1729075678" w:tooltip="Water Systems (PW / WFI) &amp; Pure Steam">
            <w:r>
              <w:rPr>
                <w:rStyle w:val="IndexLink"/>
                <w:webHidden/>
              </w:rPr>
              <w:t>Water Systems (PW / WFI) &amp; Pure Steam</w:t>
            </w:r>
            <w:r>
              <w:rPr>
                <w:rStyle w:val="IndexLink"/>
              </w:rPr>
              <w:tab/>
              <w:t>203</w:t>
            </w:r>
          </w:hyperlink>
        </w:p>
        <w:p w14:paraId="321813FA" w14:textId="77777777" w:rsidR="00CD5946" w:rsidRDefault="00CD5946">
          <w:pPr>
            <w:pStyle w:val="TOC3"/>
            <w:tabs>
              <w:tab w:val="clear" w:pos="8793"/>
              <w:tab w:val="right" w:leader="dot" w:pos="9359"/>
            </w:tabs>
          </w:pPr>
          <w:hyperlink w:anchor="__RefHeading___Toc9675_1729075678" w:tooltip="Equipment, Qualification &amp; Calibration">
            <w:r>
              <w:rPr>
                <w:rStyle w:val="IndexLink"/>
                <w:webHidden/>
              </w:rPr>
              <w:t>Equipment, Qualification &amp; Calibration</w:t>
            </w:r>
            <w:r>
              <w:rPr>
                <w:rStyle w:val="IndexLink"/>
              </w:rPr>
              <w:tab/>
              <w:t>203</w:t>
            </w:r>
          </w:hyperlink>
        </w:p>
        <w:p w14:paraId="60C335EF" w14:textId="77777777" w:rsidR="00CD5946" w:rsidRDefault="00CD5946">
          <w:pPr>
            <w:pStyle w:val="TOC3"/>
            <w:tabs>
              <w:tab w:val="clear" w:pos="8793"/>
              <w:tab w:val="right" w:leader="dot" w:pos="9359"/>
            </w:tabs>
          </w:pPr>
          <w:hyperlink w:anchor="__RefHeading___Toc9677_1729075678" w:tooltip="Documentation &amp; Good Documentation Practice">
            <w:r>
              <w:rPr>
                <w:rStyle w:val="IndexLink"/>
                <w:webHidden/>
              </w:rPr>
              <w:t>Documentation &amp; Good Documentation Practice</w:t>
            </w:r>
            <w:r>
              <w:rPr>
                <w:rStyle w:val="IndexLink"/>
              </w:rPr>
              <w:tab/>
              <w:t>203</w:t>
            </w:r>
          </w:hyperlink>
        </w:p>
        <w:p w14:paraId="3BF90E8B" w14:textId="77777777" w:rsidR="00CD5946" w:rsidRDefault="00CD5946">
          <w:pPr>
            <w:pStyle w:val="TOC3"/>
            <w:tabs>
              <w:tab w:val="clear" w:pos="8793"/>
              <w:tab w:val="right" w:leader="dot" w:pos="9359"/>
            </w:tabs>
          </w:pPr>
          <w:hyperlink w:anchor="__RefHeading___Toc9679_1729075678" w:tooltip="Data Integrity &amp; Computerised Systems">
            <w:r>
              <w:rPr>
                <w:rStyle w:val="IndexLink"/>
                <w:webHidden/>
              </w:rPr>
              <w:t>Data Integrity &amp; Computerised Systems</w:t>
            </w:r>
            <w:r>
              <w:rPr>
                <w:rStyle w:val="IndexLink"/>
              </w:rPr>
              <w:tab/>
              <w:t>204</w:t>
            </w:r>
          </w:hyperlink>
        </w:p>
        <w:p w14:paraId="5CAFBE44" w14:textId="77777777" w:rsidR="00CD5946" w:rsidRDefault="00CD5946">
          <w:pPr>
            <w:pStyle w:val="TOC3"/>
            <w:tabs>
              <w:tab w:val="clear" w:pos="8793"/>
              <w:tab w:val="right" w:leader="dot" w:pos="9359"/>
            </w:tabs>
          </w:pPr>
          <w:hyperlink w:anchor="__RefHeading___Toc9681_1729075678" w:tooltip="Materials Management &amp; Warehousing">
            <w:r>
              <w:rPr>
                <w:rStyle w:val="IndexLink"/>
                <w:webHidden/>
              </w:rPr>
              <w:t>Materials Management &amp; Warehousing</w:t>
            </w:r>
            <w:r>
              <w:rPr>
                <w:rStyle w:val="IndexLink"/>
              </w:rPr>
              <w:tab/>
              <w:t>204</w:t>
            </w:r>
          </w:hyperlink>
        </w:p>
        <w:p w14:paraId="5D231363" w14:textId="77777777" w:rsidR="00CD5946" w:rsidRDefault="00CD5946">
          <w:pPr>
            <w:pStyle w:val="TOC3"/>
            <w:tabs>
              <w:tab w:val="clear" w:pos="8793"/>
              <w:tab w:val="right" w:leader="dot" w:pos="9359"/>
            </w:tabs>
          </w:pPr>
          <w:hyperlink w:anchor="__RefHeading___Toc9683_1729075678" w:tooltip="Dispensing / Weighing">
            <w:r>
              <w:rPr>
                <w:rStyle w:val="IndexLink"/>
                <w:webHidden/>
              </w:rPr>
              <w:t>Dispensing / Weighing</w:t>
            </w:r>
            <w:r>
              <w:rPr>
                <w:rStyle w:val="IndexLink"/>
              </w:rPr>
              <w:tab/>
              <w:t>205</w:t>
            </w:r>
          </w:hyperlink>
        </w:p>
        <w:p w14:paraId="25ABB141" w14:textId="77777777" w:rsidR="00CD5946" w:rsidRDefault="00CD5946">
          <w:pPr>
            <w:pStyle w:val="TOC3"/>
            <w:tabs>
              <w:tab w:val="clear" w:pos="8793"/>
              <w:tab w:val="right" w:leader="dot" w:pos="9359"/>
            </w:tabs>
          </w:pPr>
          <w:hyperlink w:anchor="__RefHeading___Toc9685_1729075678" w:tooltip="Production — Oral Solid Dosage">
            <w:r>
              <w:rPr>
                <w:rStyle w:val="IndexLink"/>
                <w:webHidden/>
              </w:rPr>
              <w:t>Production — Oral Solid Dosage</w:t>
            </w:r>
            <w:r>
              <w:rPr>
                <w:rStyle w:val="IndexLink"/>
              </w:rPr>
              <w:tab/>
              <w:t>205</w:t>
            </w:r>
          </w:hyperlink>
        </w:p>
        <w:p w14:paraId="46BBE0DB" w14:textId="77777777" w:rsidR="00CD5946" w:rsidRDefault="00CD5946">
          <w:pPr>
            <w:pStyle w:val="TOC3"/>
            <w:tabs>
              <w:tab w:val="clear" w:pos="8793"/>
              <w:tab w:val="right" w:leader="dot" w:pos="9359"/>
            </w:tabs>
          </w:pPr>
          <w:hyperlink w:anchor="__RefHeading___Toc9687_1729075678" w:tooltip="Production — Liquids, Semisolids &amp; Topicals">
            <w:r>
              <w:rPr>
                <w:rStyle w:val="IndexLink"/>
                <w:webHidden/>
              </w:rPr>
              <w:t>Production — Liquids, Semisolids &amp; Topicals</w:t>
            </w:r>
            <w:r>
              <w:rPr>
                <w:rStyle w:val="IndexLink"/>
              </w:rPr>
              <w:tab/>
              <w:t>205</w:t>
            </w:r>
          </w:hyperlink>
        </w:p>
        <w:p w14:paraId="30AE0E05" w14:textId="77777777" w:rsidR="00CD5946" w:rsidRDefault="00CD5946">
          <w:pPr>
            <w:pStyle w:val="TOC3"/>
            <w:tabs>
              <w:tab w:val="clear" w:pos="8793"/>
              <w:tab w:val="right" w:leader="dot" w:pos="9359"/>
            </w:tabs>
          </w:pPr>
          <w:hyperlink w:anchor="__RefHeading___Toc9689_1729075678" w:tooltip="Sterile Manufacturing — Aseptic Processing">
            <w:r>
              <w:rPr>
                <w:rStyle w:val="IndexLink"/>
                <w:webHidden/>
              </w:rPr>
              <w:t>Sterile Manufacturing — Aseptic Processing</w:t>
            </w:r>
            <w:r>
              <w:rPr>
                <w:rStyle w:val="IndexLink"/>
              </w:rPr>
              <w:tab/>
              <w:t>206</w:t>
            </w:r>
          </w:hyperlink>
        </w:p>
        <w:p w14:paraId="205CB534" w14:textId="77777777" w:rsidR="00CD5946" w:rsidRDefault="00CD5946">
          <w:pPr>
            <w:pStyle w:val="TOC3"/>
            <w:tabs>
              <w:tab w:val="clear" w:pos="8793"/>
              <w:tab w:val="right" w:leader="dot" w:pos="9359"/>
            </w:tabs>
          </w:pPr>
          <w:hyperlink w:anchor="__RefHeading___Toc9691_1729075678" w:tooltip="Sterilisation &amp; Lyophilisation">
            <w:r>
              <w:rPr>
                <w:rStyle w:val="IndexLink"/>
                <w:webHidden/>
              </w:rPr>
              <w:t>Sterilisation &amp; Lyophilisation</w:t>
            </w:r>
            <w:r>
              <w:rPr>
                <w:rStyle w:val="IndexLink"/>
              </w:rPr>
              <w:tab/>
              <w:t>206</w:t>
            </w:r>
          </w:hyperlink>
        </w:p>
        <w:p w14:paraId="1FA04823" w14:textId="77777777" w:rsidR="00CD5946" w:rsidRDefault="00CD5946">
          <w:pPr>
            <w:pStyle w:val="TOC3"/>
            <w:tabs>
              <w:tab w:val="clear" w:pos="8793"/>
              <w:tab w:val="right" w:leader="dot" w:pos="9359"/>
            </w:tabs>
          </w:pPr>
          <w:hyperlink w:anchor="__RefHeading___Toc9693_1729075678" w:tooltip="Packaging &amp; Labelling">
            <w:r>
              <w:rPr>
                <w:rStyle w:val="IndexLink"/>
                <w:webHidden/>
              </w:rPr>
              <w:t>Packaging &amp; Labelling</w:t>
            </w:r>
            <w:r>
              <w:rPr>
                <w:rStyle w:val="IndexLink"/>
              </w:rPr>
              <w:tab/>
              <w:t>206</w:t>
            </w:r>
          </w:hyperlink>
        </w:p>
        <w:p w14:paraId="62FC1BB0" w14:textId="77777777" w:rsidR="00CD5946" w:rsidRDefault="00CD5946">
          <w:pPr>
            <w:pStyle w:val="TOC3"/>
            <w:tabs>
              <w:tab w:val="clear" w:pos="8793"/>
              <w:tab w:val="right" w:leader="dot" w:pos="9359"/>
            </w:tabs>
          </w:pPr>
          <w:hyperlink w:anchor="__RefHeading___Toc9695_1729075678" w:tooltip="Quality Control — Chemical / Analytical Laboratory">
            <w:r>
              <w:rPr>
                <w:rStyle w:val="IndexLink"/>
                <w:webHidden/>
              </w:rPr>
              <w:t>Quality Control — Chemical / Analytical Laboratory</w:t>
            </w:r>
            <w:r>
              <w:rPr>
                <w:rStyle w:val="IndexLink"/>
              </w:rPr>
              <w:tab/>
              <w:t>207</w:t>
            </w:r>
          </w:hyperlink>
        </w:p>
        <w:p w14:paraId="7CBF18E2" w14:textId="77777777" w:rsidR="00CD5946" w:rsidRDefault="00CD5946">
          <w:pPr>
            <w:pStyle w:val="TOC3"/>
            <w:tabs>
              <w:tab w:val="clear" w:pos="8793"/>
              <w:tab w:val="right" w:leader="dot" w:pos="9359"/>
            </w:tabs>
          </w:pPr>
          <w:hyperlink w:anchor="__RefHeading___Toc9697_1729075678" w:tooltip="Quality Control — Microbiology Laboratory">
            <w:r>
              <w:rPr>
                <w:rStyle w:val="IndexLink"/>
                <w:webHidden/>
              </w:rPr>
              <w:t>Quality Control — Microbiology Laboratory</w:t>
            </w:r>
            <w:r>
              <w:rPr>
                <w:rStyle w:val="IndexLink"/>
              </w:rPr>
              <w:tab/>
              <w:t>207</w:t>
            </w:r>
          </w:hyperlink>
        </w:p>
        <w:p w14:paraId="4A2A9029" w14:textId="77777777" w:rsidR="00CD5946" w:rsidRDefault="00CD5946">
          <w:pPr>
            <w:pStyle w:val="TOC3"/>
            <w:tabs>
              <w:tab w:val="clear" w:pos="8793"/>
              <w:tab w:val="right" w:leader="dot" w:pos="9359"/>
            </w:tabs>
          </w:pPr>
          <w:hyperlink w:anchor="__RefHeading___Toc9699_1729075678" w:tooltip="Stability Programme">
            <w:r>
              <w:rPr>
                <w:rStyle w:val="IndexLink"/>
                <w:webHidden/>
              </w:rPr>
              <w:t>Stability Programme</w:t>
            </w:r>
            <w:r>
              <w:rPr>
                <w:rStyle w:val="IndexLink"/>
              </w:rPr>
              <w:tab/>
              <w:t>207</w:t>
            </w:r>
          </w:hyperlink>
        </w:p>
        <w:p w14:paraId="5DE94AB0" w14:textId="77777777" w:rsidR="00CD5946" w:rsidRDefault="00CD5946">
          <w:pPr>
            <w:pStyle w:val="TOC3"/>
            <w:tabs>
              <w:tab w:val="clear" w:pos="8793"/>
              <w:tab w:val="right" w:leader="dot" w:pos="9359"/>
            </w:tabs>
          </w:pPr>
          <w:hyperlink w:anchor="__RefHeading___Toc9701_1729075678" w:tooltip="Process Validation &amp; Lifecycle">
            <w:r>
              <w:rPr>
                <w:rStyle w:val="IndexLink"/>
                <w:webHidden/>
              </w:rPr>
              <w:t>Process Validation &amp; Lifecycle</w:t>
            </w:r>
            <w:r>
              <w:rPr>
                <w:rStyle w:val="IndexLink"/>
              </w:rPr>
              <w:tab/>
              <w:t>208</w:t>
            </w:r>
          </w:hyperlink>
        </w:p>
        <w:p w14:paraId="59E31AF3" w14:textId="77777777" w:rsidR="00CD5946" w:rsidRDefault="00CD5946">
          <w:pPr>
            <w:pStyle w:val="TOC3"/>
            <w:tabs>
              <w:tab w:val="clear" w:pos="8793"/>
              <w:tab w:val="right" w:leader="dot" w:pos="9359"/>
            </w:tabs>
          </w:pPr>
          <w:hyperlink w:anchor="__RefHeading___Toc9703_1729075678" w:tooltip="Cleaning Validation">
            <w:r>
              <w:rPr>
                <w:rStyle w:val="IndexLink"/>
                <w:webHidden/>
              </w:rPr>
              <w:t>Cleaning Validation</w:t>
            </w:r>
            <w:r>
              <w:rPr>
                <w:rStyle w:val="IndexLink"/>
              </w:rPr>
              <w:tab/>
              <w:t>208</w:t>
            </w:r>
          </w:hyperlink>
        </w:p>
        <w:p w14:paraId="788DD462" w14:textId="77777777" w:rsidR="00CD5946" w:rsidRDefault="00CD5946">
          <w:pPr>
            <w:pStyle w:val="TOC3"/>
            <w:tabs>
              <w:tab w:val="clear" w:pos="8793"/>
              <w:tab w:val="right" w:leader="dot" w:pos="9359"/>
            </w:tabs>
          </w:pPr>
          <w:hyperlink w:anchor="__RefHeading___Toc9705_1729075678" w:tooltip="Deviation, OOS/OOT &amp; CAPA Management">
            <w:r>
              <w:rPr>
                <w:rStyle w:val="IndexLink"/>
                <w:webHidden/>
              </w:rPr>
              <w:t>Deviation, OOS/OOT &amp; CAPA Management</w:t>
            </w:r>
            <w:r>
              <w:rPr>
                <w:rStyle w:val="IndexLink"/>
              </w:rPr>
              <w:tab/>
              <w:t>208</w:t>
            </w:r>
          </w:hyperlink>
        </w:p>
        <w:p w14:paraId="7419BA52" w14:textId="77777777" w:rsidR="00CD5946" w:rsidRDefault="00CD5946">
          <w:pPr>
            <w:pStyle w:val="TOC3"/>
            <w:tabs>
              <w:tab w:val="clear" w:pos="8793"/>
              <w:tab w:val="right" w:leader="dot" w:pos="9359"/>
            </w:tabs>
          </w:pPr>
          <w:hyperlink w:anchor="__RefHeading___Toc9707_1729075678" w:tooltip="Complaints, Returns, Recalls &amp; Falsified Medicines">
            <w:r>
              <w:rPr>
                <w:rStyle w:val="IndexLink"/>
                <w:webHidden/>
              </w:rPr>
              <w:t>Complaints, Returns, Recalls &amp; Falsified Medicines</w:t>
            </w:r>
            <w:r>
              <w:rPr>
                <w:rStyle w:val="IndexLink"/>
              </w:rPr>
              <w:tab/>
              <w:t>209</w:t>
            </w:r>
          </w:hyperlink>
        </w:p>
        <w:p w14:paraId="1A0DCC69" w14:textId="77777777" w:rsidR="00CD5946" w:rsidRDefault="00CD5946">
          <w:pPr>
            <w:pStyle w:val="TOC3"/>
            <w:tabs>
              <w:tab w:val="clear" w:pos="8793"/>
              <w:tab w:val="right" w:leader="dot" w:pos="9359"/>
            </w:tabs>
          </w:pPr>
          <w:hyperlink w:anchor="__RefHeading___Toc9709_1729075678" w:tooltip="Supplier Qualification &amp; Outsourced Activities">
            <w:r>
              <w:rPr>
                <w:rStyle w:val="IndexLink"/>
                <w:webHidden/>
              </w:rPr>
              <w:t>Supplier Qualification &amp; Outsourced Activities</w:t>
            </w:r>
            <w:r>
              <w:rPr>
                <w:rStyle w:val="IndexLink"/>
              </w:rPr>
              <w:tab/>
              <w:t>209</w:t>
            </w:r>
          </w:hyperlink>
        </w:p>
        <w:p w14:paraId="1E678BEC" w14:textId="77777777" w:rsidR="00CD5946" w:rsidRDefault="00CD5946">
          <w:pPr>
            <w:pStyle w:val="TOC3"/>
            <w:tabs>
              <w:tab w:val="clear" w:pos="8793"/>
              <w:tab w:val="right" w:leader="dot" w:pos="9359"/>
            </w:tabs>
          </w:pPr>
          <w:hyperlink w:anchor="__RefHeading___Toc9711_1729075678" w:tooltip="Self-Inspection &amp; Quality Audits">
            <w:r>
              <w:rPr>
                <w:rStyle w:val="IndexLink"/>
                <w:webHidden/>
              </w:rPr>
              <w:t>Self-Inspection &amp; Quality Audits</w:t>
            </w:r>
            <w:r>
              <w:rPr>
                <w:rStyle w:val="IndexLink"/>
              </w:rPr>
              <w:tab/>
              <w:t>209</w:t>
            </w:r>
          </w:hyperlink>
        </w:p>
        <w:p w14:paraId="056FA3EC" w14:textId="77777777" w:rsidR="00CD5946" w:rsidRDefault="00CD5946">
          <w:pPr>
            <w:pStyle w:val="TOC3"/>
            <w:tabs>
              <w:tab w:val="clear" w:pos="8793"/>
              <w:tab w:val="right" w:leader="dot" w:pos="9359"/>
            </w:tabs>
          </w:pPr>
          <w:hyperlink w:anchor="__RefHeading___Toc9713_1729075678" w:tooltip="Good Distribution Practice (GDP) Interface">
            <w:r>
              <w:rPr>
                <w:rStyle w:val="IndexLink"/>
                <w:webHidden/>
              </w:rPr>
              <w:t>Good Distribution Practice (GDP) Interface</w:t>
            </w:r>
            <w:r>
              <w:rPr>
                <w:rStyle w:val="IndexLink"/>
              </w:rPr>
              <w:tab/>
              <w:t>209</w:t>
            </w:r>
          </w:hyperlink>
        </w:p>
        <w:p w14:paraId="26F03747"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webHidden/>
              </w:rPr>
              <w:t>Appendix C — Glossary of definitions</w:t>
            </w:r>
            <w:r>
              <w:rPr>
                <w:rStyle w:val="IndexLink"/>
              </w:rPr>
              <w:tab/>
              <w:t>210</w:t>
            </w:r>
          </w:hyperlink>
        </w:p>
        <w:p w14:paraId="68856E84" w14:textId="77777777" w:rsidR="00CD5946" w:rsidRDefault="00CD5946">
          <w:pPr>
            <w:pStyle w:val="TOC2"/>
            <w:tabs>
              <w:tab w:val="clear" w:pos="9077"/>
              <w:tab w:val="right" w:leader="dot" w:pos="9359"/>
            </w:tabs>
          </w:pPr>
          <w:hyperlink w:anchor="__RefHeading___Toc26896_4022559934" w:tooltip="Abbreviations &amp; Acronyms · المختصرات والمصطلحات">
            <w:r>
              <w:rPr>
                <w:rStyle w:val="IndexLink"/>
                <w:webHidden/>
              </w:rPr>
              <w:t xml:space="preserve">Abbreviations &amp; Acronyms · </w:t>
            </w:r>
            <w:r>
              <w:rPr>
                <w:rStyle w:val="IndexLink"/>
                <w:rtl/>
              </w:rPr>
              <w:t>المختصرات والمصطلحات</w:t>
            </w:r>
            <w:r>
              <w:rPr>
                <w:rStyle w:val="IndexLink"/>
              </w:rPr>
              <w:tab/>
              <w:t>210</w:t>
            </w:r>
          </w:hyperlink>
        </w:p>
        <w:p w14:paraId="61EDA1FB" w14:textId="77777777" w:rsidR="00CD5946" w:rsidRDefault="00CD5946">
          <w:pPr>
            <w:pStyle w:val="TOC1"/>
            <w:tabs>
              <w:tab w:val="clear" w:pos="9360"/>
              <w:tab w:val="right" w:leader="dot" w:pos="9359"/>
            </w:tabs>
          </w:pPr>
          <w:hyperlink w:anchor="__RefHeading___Toc9717_1729075678" w:tooltip="Appendix D — Normative references">
            <w:r>
              <w:rPr>
                <w:rStyle w:val="IndexLink"/>
                <w:webHidden/>
              </w:rPr>
              <w:t>Appendix D — Normative references</w:t>
            </w:r>
            <w:r>
              <w:rPr>
                <w:rStyle w:val="IndexLink"/>
              </w:rPr>
              <w:tab/>
              <w:t>214</w:t>
            </w:r>
          </w:hyperlink>
        </w:p>
        <w:p w14:paraId="746C06D4"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webHidden/>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6F4EDB63" w14:textId="77777777" w:rsidR="00CD5946" w:rsidRDefault="00CD5946">
          <w:pPr>
            <w:pStyle w:val="TOC2"/>
            <w:tabs>
              <w:tab w:val="clear" w:pos="9077"/>
              <w:tab w:val="right" w:leader="dot" w:pos="9359"/>
            </w:tabs>
          </w:pPr>
          <w:hyperlink w:anchor="__RefHeading___Toc28269_1371984443" w:tooltip="Cross-reference map · خريطة الإحالات">
            <w:r>
              <w:rPr>
                <w:rStyle w:val="IndexLink"/>
                <w:webHidden/>
              </w:rPr>
              <w:t xml:space="preserve">Cross-reference map · </w:t>
            </w:r>
            <w:r>
              <w:rPr>
                <w:rStyle w:val="IndexLink"/>
                <w:rtl/>
              </w:rPr>
              <w:t>خريطة الإحالات</w:t>
            </w:r>
            <w:r>
              <w:rPr>
                <w:rStyle w:val="IndexLink"/>
              </w:rPr>
              <w:tab/>
              <w:t>215</w:t>
            </w:r>
          </w:hyperlink>
        </w:p>
        <w:p w14:paraId="3F436637" w14:textId="77777777" w:rsidR="00CD5946" w:rsidRDefault="00CD5946">
          <w:pPr>
            <w:pStyle w:val="TOC2"/>
            <w:tabs>
              <w:tab w:val="clear" w:pos="9077"/>
              <w:tab w:val="right" w:leader="dot" w:pos="9359"/>
            </w:tabs>
          </w:pPr>
          <w:hyperlink w:anchor="__RefHeading___Toc28271_1371984443" w:tooltip="P4.1 Per-chapter apparatus (illustrated on Chapter 1 — PQS) · أدوات كلّ فصل (موضّحة على الفصل 1)">
            <w:r>
              <w:rPr>
                <w:rStyle w:val="IndexLink"/>
                <w:webHidden/>
              </w:rPr>
              <w:t xml:space="preserve">P4.1 Per-chapter apparatus (illustrated on Chapter 1 — PQS) · </w:t>
            </w:r>
            <w:r>
              <w:rPr>
                <w:rStyle w:val="IndexLink"/>
                <w:rtl/>
              </w:rPr>
              <w:t xml:space="preserve">أدوات كلّ فصل (موضّحة على الفصل </w:t>
            </w:r>
            <w:r>
              <w:rPr>
                <w:rStyle w:val="IndexLink"/>
              </w:rPr>
              <w:t>1</w:t>
            </w:r>
            <w:r>
              <w:rPr>
                <w:rStyle w:val="IndexLink"/>
                <w:rtl/>
              </w:rPr>
              <w:t>)</w:t>
            </w:r>
            <w:r>
              <w:rPr>
                <w:rStyle w:val="IndexLink"/>
              </w:rPr>
              <w:tab/>
              <w:t>215</w:t>
            </w:r>
          </w:hyperlink>
        </w:p>
        <w:p w14:paraId="17B5328F" w14:textId="77777777" w:rsidR="00CD5946" w:rsidRDefault="00CD5946">
          <w:pPr>
            <w:pStyle w:val="TOC2"/>
            <w:tabs>
              <w:tab w:val="clear" w:pos="9077"/>
              <w:tab w:val="right" w:leader="dot" w:pos="9359"/>
            </w:tabs>
          </w:pPr>
          <w:hyperlink w:anchor="__RefHeading___Toc28273_1371984443" w:tooltip="P4.2 Decision tree — dedicated vs shared facility (HBEL-based) · شجرة القرار — منشأة مخصّصة مقابل مشتركة">
            <w:r>
              <w:rPr>
                <w:rStyle w:val="IndexLink"/>
                <w:webHidden/>
              </w:rPr>
              <w:t xml:space="preserve">P4.2 Decision tree — dedicated vs shared facility (HBEL-based) · </w:t>
            </w:r>
            <w:r>
              <w:rPr>
                <w:rStyle w:val="IndexLink"/>
                <w:rtl/>
              </w:rPr>
              <w:t>شجرة القرار — منشأة مخصّصة مقابل مشتركة</w:t>
            </w:r>
            <w:r>
              <w:rPr>
                <w:rStyle w:val="IndexLink"/>
              </w:rPr>
              <w:tab/>
              <w:t>216</w:t>
            </w:r>
          </w:hyperlink>
        </w:p>
        <w:p w14:paraId="1D6164FA" w14:textId="77777777" w:rsidR="00CD5946" w:rsidRDefault="00CD5946">
          <w:pPr>
            <w:pStyle w:val="TOC2"/>
            <w:tabs>
              <w:tab w:val="clear" w:pos="9077"/>
              <w:tab w:val="right" w:leader="dot" w:pos="9359"/>
            </w:tabs>
          </w:pPr>
          <w:hyperlink w:anchor="__RefHeading___Toc28275_1371984443" w:tooltip="P4.3 Worked example — HBEL → PDE → MACO cleaning limit · مثال محلول — من حدّ التعرّض إلى أقصى محمول مسموح">
            <w:r>
              <w:rPr>
                <w:rStyle w:val="IndexLink"/>
                <w:webHidden/>
              </w:rPr>
              <w:t xml:space="preserve">P4.3 Worked example — HBEL → PDE → MACO cleaning limit · </w:t>
            </w:r>
            <w:r>
              <w:rPr>
                <w:rStyle w:val="IndexLink"/>
                <w:rtl/>
              </w:rPr>
              <w:t>مثال محلول — من حدّ التعرّض إلى أقصى محمول مسموح</w:t>
            </w:r>
            <w:r>
              <w:rPr>
                <w:rStyle w:val="IndexLink"/>
              </w:rPr>
              <w:tab/>
              <w:t>217</w:t>
            </w:r>
          </w:hyperlink>
        </w:p>
        <w:p w14:paraId="3C6B9A2B"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webHidden/>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07064B2D" w14:textId="77777777" w:rsidR="00CD5946" w:rsidRDefault="00CD5946">
          <w:pPr>
            <w:pStyle w:val="TOC2"/>
            <w:tabs>
              <w:tab w:val="clear" w:pos="9077"/>
              <w:tab w:val="right" w:leader="dot" w:pos="9359"/>
            </w:tabs>
          </w:pPr>
          <w:hyperlink w:anchor="__RefHeading___Toc28279_1371984443" w:tooltip="Principle · المبدأ">
            <w:r>
              <w:rPr>
                <w:rStyle w:val="IndexLink"/>
                <w:webHidden/>
              </w:rPr>
              <w:t xml:space="preserve">Principle · </w:t>
            </w:r>
            <w:r>
              <w:rPr>
                <w:rStyle w:val="IndexLink"/>
                <w:rtl/>
              </w:rPr>
              <w:t>المبدأ</w:t>
            </w:r>
            <w:r>
              <w:rPr>
                <w:rStyle w:val="IndexLink"/>
              </w:rPr>
              <w:tab/>
              <w:t>218</w:t>
            </w:r>
          </w:hyperlink>
        </w:p>
        <w:p w14:paraId="177EB1E0" w14:textId="77777777" w:rsidR="00CD5946" w:rsidRDefault="00CD5946">
          <w:pPr>
            <w:pStyle w:val="TOC2"/>
            <w:tabs>
              <w:tab w:val="clear" w:pos="9077"/>
              <w:tab w:val="right" w:leader="dot" w:pos="9359"/>
            </w:tabs>
          </w:pPr>
          <w:hyperlink w:anchor="__RefHeading___Toc28281_1371984443" w:tooltip="Requirements · المتطلّبات">
            <w:r>
              <w:rPr>
                <w:rStyle w:val="IndexLink"/>
                <w:webHidden/>
              </w:rPr>
              <w:t xml:space="preserve">Requirements · </w:t>
            </w:r>
            <w:r>
              <w:rPr>
                <w:rStyle w:val="IndexLink"/>
                <w:rtl/>
              </w:rPr>
              <w:t>المتطلّبات</w:t>
            </w:r>
            <w:r>
              <w:rPr>
                <w:rStyle w:val="IndexLink"/>
              </w:rPr>
              <w:tab/>
              <w:t>218</w:t>
            </w:r>
          </w:hyperlink>
        </w:p>
        <w:p w14:paraId="727A9E83"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webHidden/>
              </w:rPr>
              <w:t xml:space="preserve">Reliance &amp; Mutual-Recognition Framework · </w:t>
            </w:r>
            <w:r>
              <w:rPr>
                <w:rStyle w:val="IndexLink"/>
                <w:rtl/>
              </w:rPr>
              <w:t>إطار الاعتماد والاعتراف المتبادل</w:t>
            </w:r>
            <w:r>
              <w:rPr>
                <w:rStyle w:val="IndexLink"/>
              </w:rPr>
              <w:tab/>
              <w:t>219</w:t>
            </w:r>
          </w:hyperlink>
        </w:p>
        <w:p w14:paraId="651FF402" w14:textId="77777777" w:rsidR="00CD5946" w:rsidRDefault="00CD5946">
          <w:pPr>
            <w:pStyle w:val="TOC2"/>
            <w:tabs>
              <w:tab w:val="clear" w:pos="9077"/>
              <w:tab w:val="right" w:leader="dot" w:pos="9359"/>
            </w:tabs>
          </w:pPr>
          <w:hyperlink w:anchor="__RefHeading___Toc28285_1371984443" w:tooltip="Principle · المبدأ">
            <w:r>
              <w:rPr>
                <w:rStyle w:val="IndexLink"/>
                <w:webHidden/>
              </w:rPr>
              <w:t xml:space="preserve">Principle · </w:t>
            </w:r>
            <w:r>
              <w:rPr>
                <w:rStyle w:val="IndexLink"/>
                <w:rtl/>
              </w:rPr>
              <w:t>المبدأ</w:t>
            </w:r>
            <w:r>
              <w:rPr>
                <w:rStyle w:val="IndexLink"/>
              </w:rPr>
              <w:tab/>
              <w:t>219</w:t>
            </w:r>
          </w:hyperlink>
        </w:p>
        <w:p w14:paraId="15E0EAA3" w14:textId="77777777" w:rsidR="00CD5946" w:rsidRDefault="00CD5946">
          <w:pPr>
            <w:pStyle w:val="TOC2"/>
            <w:tabs>
              <w:tab w:val="clear" w:pos="9077"/>
              <w:tab w:val="right" w:leader="dot" w:pos="9359"/>
            </w:tabs>
          </w:pPr>
          <w:hyperlink w:anchor="__RefHeading___Toc28287_1371984443" w:tooltip="Elements · العناصر">
            <w:r>
              <w:rPr>
                <w:rStyle w:val="IndexLink"/>
                <w:webHidden/>
              </w:rPr>
              <w:t xml:space="preserve">Elements · </w:t>
            </w:r>
            <w:r>
              <w:rPr>
                <w:rStyle w:val="IndexLink"/>
                <w:rtl/>
              </w:rPr>
              <w:t>العناصر</w:t>
            </w:r>
            <w:r>
              <w:rPr>
                <w:rStyle w:val="IndexLink"/>
              </w:rPr>
              <w:tab/>
              <w:t>219</w:t>
            </w:r>
          </w:hyperlink>
          <w:r>
            <w:rPr>
              <w:rStyle w:val="IndexLink"/>
            </w:rPr>
            <w:fldChar w:fldCharType="end"/>
          </w:r>
        </w:p>
      </w:sdtContent>
    </w:sdt>
    <w:p w14:paraId="709636FE" w14:textId="77777777" w:rsidR="00CD5946" w:rsidRDefault="00000000">
      <w:pPr>
        <w:pStyle w:val="Heading1"/>
      </w:pPr>
      <w:r>
        <w:br w:type="page"/>
      </w:r>
      <w:bookmarkStart w:id="8" w:name="__RefHeading___Toc9167_1729075678"/>
      <w:bookmarkEnd w:id="8"/>
      <w:r>
        <w:lastRenderedPageBreak/>
        <w:t>1. Introduction</w:t>
      </w:r>
    </w:p>
    <w:p w14:paraId="4DC8AEED" w14:textId="77777777" w:rsidR="00CD5946" w:rsidRDefault="00000000">
      <w:pPr>
        <w:pStyle w:val="Heading2"/>
      </w:pPr>
      <w:bookmarkStart w:id="9" w:name="__RefHeading___Toc9169_1729075678"/>
      <w:bookmarkEnd w:id="9"/>
      <w:r>
        <w:t>1.1 Background and the need for revision</w:t>
      </w:r>
    </w:p>
    <w:p w14:paraId="26EB8F4B" w14:textId="77777777" w:rsidR="00CD5946" w:rsidRDefault="00000000">
      <w:pPr>
        <w:spacing w:line="276" w:lineRule="auto"/>
      </w:pPr>
      <w:r>
        <w:rPr>
          <w:color w:val="1A1A1A"/>
        </w:rPr>
        <w:t>The Arab GMP Guidelines (2007) followed the structure of the WHO GMP main-principles text of the period and served the region well. Since then the international framework has been substantially rewritten and extended — most importantly through the adoption of ICH Q8–Q12 (pharmaceutical development, quality risk management, the pharmaceutical quality system, drug-substance development and lifecycle management), the 2022 revision of EU GMP Annex 1, the maturation of data-integrity expectations, and continual updates to the PIC/S, FDA and WHO texts. This edition modernises the Arab guideline to that current state of the art.</w:t>
      </w:r>
    </w:p>
    <w:p w14:paraId="35E4F7E1" w14:textId="77777777" w:rsidR="00CD5946" w:rsidRDefault="00000000">
      <w:pPr>
        <w:pStyle w:val="Heading2"/>
      </w:pPr>
      <w:bookmarkStart w:id="10" w:name="__RefHeading___Toc9171_1729075678"/>
      <w:bookmarkEnd w:id="10"/>
      <w:r>
        <w:t>1.2 The regional moment — PIC/S accession in the Arab world</w:t>
      </w:r>
    </w:p>
    <w:p w14:paraId="2C063F17" w14:textId="77777777" w:rsidR="00CD5946" w:rsidRDefault="00000000">
      <w:pPr>
        <w:spacing w:line="276" w:lineRule="auto"/>
      </w:pPr>
      <w:r>
        <w:rPr>
          <w:color w:val="1A1A1A"/>
        </w:rPr>
        <w:t>PIC/S is the principal international instrument for the mutual recognition of GMP inspections. Admission requires an applicant authority to demonstrate a GMP standard, an inspectorate and a quality system equivalent to those of existing members. Two Arab authorities have now achieved this: the SFDA (Saudi Arabia), the first Arab member, and the JFDA (Jordan), a Participating Authority from 1 January 2026; additional Arab authorities are in pre-accession. The SFDA GMP Guide (Version 4.4) demonstrates that an Arab authority has already implemented a full EU/PIC/S-equivalent GMP standard; the 2026 Arab Edition adopts that same architecture so that harmonising with EU GMP and PIC/S is, by construction, harmonising with the in-force SFDA standard. A harmonised Arab guideline consolidates this progress: it gives applicant authorities a ready, internationally-aligned baseline, gives industry one coherent standard across the region, and supports reliance-based work-sharing among Arab regulators.</w:t>
      </w:r>
    </w:p>
    <w:p w14:paraId="06AF32B8" w14:textId="77777777" w:rsidR="00CD5946" w:rsidRDefault="00000000">
      <w:pPr>
        <w:pStyle w:val="Heading2"/>
      </w:pPr>
      <w:bookmarkStart w:id="11" w:name="__RefHeading___Toc9173_1729075678"/>
      <w:bookmarkEnd w:id="11"/>
      <w:r>
        <w:t>1.3 Purpose and objectives</w:t>
      </w:r>
    </w:p>
    <w:p w14:paraId="0A397CC3" w14:textId="77777777" w:rsidR="00CD5946" w:rsidRDefault="00000000">
      <w:pPr>
        <w:pStyle w:val="ListParagraph"/>
        <w:numPr>
          <w:ilvl w:val="0"/>
          <w:numId w:val="6"/>
        </w:numPr>
        <w:spacing w:after="60"/>
      </w:pPr>
      <w:r>
        <w:rPr>
          <w:color w:val="1A1A1A"/>
        </w:rPr>
        <w:t>Provide a single, current, harmonised GMP standard for human pharmaceutical products, suitable for adoption by Arab national medicines regulatory authorities (NMRAs).</w:t>
      </w:r>
    </w:p>
    <w:p w14:paraId="5A73F5FE" w14:textId="77777777" w:rsidR="00CD5946" w:rsidRDefault="00000000">
      <w:pPr>
        <w:pStyle w:val="ListParagraph"/>
        <w:numPr>
          <w:ilvl w:val="0"/>
          <w:numId w:val="3"/>
        </w:numPr>
        <w:spacing w:after="60"/>
      </w:pPr>
      <w:r>
        <w:rPr>
          <w:color w:val="1A1A1A"/>
        </w:rPr>
        <w:t>Align the Arab guideline with EU GMP, PIC/S PE 009, US FDA 21 CFR 210/211, WHO GMP and the ICH quality guidelines, so that compliance supports market access and reliance.</w:t>
      </w:r>
    </w:p>
    <w:p w14:paraId="2DB0F11C" w14:textId="77777777" w:rsidR="00CD5946" w:rsidRDefault="00000000">
      <w:pPr>
        <w:pStyle w:val="ListParagraph"/>
        <w:numPr>
          <w:ilvl w:val="0"/>
          <w:numId w:val="3"/>
        </w:numPr>
        <w:spacing w:after="60"/>
      </w:pPr>
      <w:r>
        <w:rPr>
          <w:color w:val="1A1A1A"/>
        </w:rPr>
        <w:t>Embed the modern principles of GMP: a lifecycle and risk-based approach, an effective pharmaceutical quality system, quality risk management, data integrity, and a documented contamination control strategy.</w:t>
      </w:r>
    </w:p>
    <w:p w14:paraId="781E7EDC" w14:textId="77777777" w:rsidR="00CD5946" w:rsidRDefault="00000000">
      <w:pPr>
        <w:pStyle w:val="ListParagraph"/>
        <w:numPr>
          <w:ilvl w:val="0"/>
          <w:numId w:val="3"/>
        </w:numPr>
        <w:spacing w:after="60"/>
      </w:pPr>
      <w:r>
        <w:rPr>
          <w:color w:val="1A1A1A"/>
        </w:rPr>
        <w:t>Support the Arab region's PIC/S trajectory and the harmonisation of inspection practice among Arab inspectorates.</w:t>
      </w:r>
    </w:p>
    <w:p w14:paraId="44F5A6E5" w14:textId="77777777" w:rsidR="00CD5946" w:rsidRDefault="00000000">
      <w:pPr>
        <w:pStyle w:val="Heading2"/>
      </w:pPr>
      <w:bookmarkStart w:id="12" w:name="__RefHeading___Toc9175_1729075678"/>
      <w:bookmarkEnd w:id="12"/>
      <w:r>
        <w:t>1.4 Scope and applicability</w:t>
      </w:r>
    </w:p>
    <w:p w14:paraId="1F108B77" w14:textId="77777777" w:rsidR="00CD5946" w:rsidRDefault="00000000">
      <w:pPr>
        <w:spacing w:line="276" w:lineRule="auto"/>
      </w:pPr>
      <w:r>
        <w:rPr>
          <w:color w:val="1A1A1A"/>
        </w:rPr>
        <w:t>This guideline addresses GMP for medicinal products for human use — finished products and the active substances used as starting materials — across the product lifecycle, from materials and premises to manufacture, quality control, release, storage, complaints and recall. It applies to all operations of manufacturers and to activities outsourced by them, and it covers chemical (small-molecule) and biological products alike. Distribution is addressed at the GMP–GDP interface; specialised sectors are covered in dedicated annexes: biological and biotechnology-derived products (including monoclonal antibodies and vaccines) and biosimilars (similar biotherapeutic products), as well as radiopharmaceuticals, medicinal gases, herbal products and investigational products. The guideline is a model standard; legal force derives from adoption by each NMRA.</w:t>
      </w:r>
    </w:p>
    <w:p w14:paraId="58C319C3" w14:textId="77777777" w:rsidR="00CD5946" w:rsidRDefault="00000000">
      <w:pPr>
        <w:spacing w:after="40" w:line="266" w:lineRule="auto"/>
      </w:pPr>
      <w:r>
        <w:rPr>
          <w:rFonts w:ascii="Arial" w:eastAsia="Arial" w:hAnsi="Arial"/>
          <w:color w:val="333333"/>
        </w:rPr>
        <w:lastRenderedPageBreak/>
        <w:t>1.4.1  Product classes outside the current scope. This edition covers the dosage forms and activities addressed in Parts I–III and the Annexes listed in the Contents. The following are deliberately outside the current scope and may be added in future editions as regional need is confirmed: medicinal products from human blood or plasma (cf. EU Annex 14); products subject to ionising-radiation processing (cf. EU Annex 12); pressurised metered-dose aerosol preparations (cf. EU Annex 10); veterinary / immunological veterinary products (cf. PIC/S PE 009-17 Annexes 4–5; in the EU, veterinary GMP now sits in the Regulation (EU) 2019/6 framework); and advanced therapy medicinal products (ATMPs — gene-therapy, somatic-cell-therapy and tissue-engineered products; cf. PIC/S PE 009-17 Annex 2A and the EU GMP Part IV guideline, which apply by reference until an Arab ATMP annex is issued). Liquids, creams and ointments (cf. EU Annex 9) are identified for early addition. Where a product class is out of scope here, the corresponding EU/PIC-S annex applies by reference until an Arab annex is issued.</w:t>
      </w:r>
    </w:p>
    <w:p w14:paraId="4FC03D42" w14:textId="77777777" w:rsidR="00CD5946" w:rsidRDefault="00000000">
      <w:pPr>
        <w:bidi/>
        <w:spacing w:after="150" w:line="300" w:lineRule="auto"/>
        <w:jc w:val="right"/>
      </w:pPr>
      <w:r>
        <w:rPr>
          <w:rFonts w:ascii="Arial" w:eastAsia="Arial" w:hAnsi="Arial"/>
          <w:color w:val="333333"/>
          <w:sz w:val="20"/>
          <w:szCs w:val="20"/>
          <w:rtl/>
        </w:rPr>
        <w:t>§1.4.1 فئات المنتجات خارج النطاق الحالي: يغطّي هذا الإصدار الأشكال الصيدلانية والأنشطة الواردة في الأجزاء I–III والملاحق المدرجة. وتقع الفئات الآتية عمداً خارج النطاق الحالي وقد تُضاف لاحقاً: المنتجات المشتقّة من دم الإنسان أو بلازماه (الملحق 14)؛ والمعالجة بالإشعاع المؤيّن (الملحق 12)؛ والأيروسولات المضغوطة (الملحق 10)؛ والمنتجات البيطرية (الملحقان 4 و5 من دليل ⁦PIC/S⁩)؛ ومنتجات العلاج المتقدّم (الجيني والخلوي والأنسجة، ويسري عليها بالإحالة الملحق ⁦2⁩أ من دليل ⁦PIC/S⁩ والجزء الرابع الأوروبي حتى صدور ملحق عربي مخصّص). أمّا السوائل والكريمات والمراهم (الملحق 9) فمحدّدة للإضافة المبكّرة؛ وحيثما تقع فئة خارج النطاق يسري الملحق الأوروبي/PIC-S المقابل بالإحالة.</w:t>
      </w:r>
    </w:p>
    <w:p w14:paraId="1CFAEAA4" w14:textId="77777777" w:rsidR="00CD5946" w:rsidRDefault="00000000">
      <w:pPr>
        <w:pStyle w:val="Heading2"/>
      </w:pPr>
      <w:bookmarkStart w:id="13" w:name="__RefHeading___Toc9177_1729075678"/>
      <w:bookmarkEnd w:id="13"/>
      <w:r>
        <w:t>1.5 Harmonisation philosophy</w:t>
      </w:r>
    </w:p>
    <w:p w14:paraId="61084B00" w14:textId="77777777" w:rsidR="00CD5946" w:rsidRDefault="00000000">
      <w:pPr>
        <w:spacing w:line="276" w:lineRule="auto"/>
      </w:pPr>
      <w:r>
        <w:rPr>
          <w:color w:val="1A1A1A"/>
        </w:rPr>
        <w:t>The 2026 Edition is built on four organising ideas drawn from the international consensus: (i) a lifecycle, science- and risk-based approach to development, manufacture and control (ICH Q8–Q12); (ii) an effective Pharmaceutical Quality System with active management responsibility, CAPA, change management, product quality review and knowledge management (ICH Q10); (iii) data integrity as a foundational expectation across paper and electronic records (ALCOA+); and (iv) for sterile products, a holistic Contamination Control Strategy (EU GMP Annex 1, 2022). Quantitative acceptance criteria are consolidated in a controlled reference register rather than scattered through the text, so the numeric standards can be kept current as pharmacopoeias revise.</w:t>
      </w:r>
    </w:p>
    <w:p w14:paraId="16322C66" w14:textId="77777777" w:rsidR="00CD5946" w:rsidRDefault="00000000">
      <w:pPr>
        <w:pStyle w:val="Heading2"/>
      </w:pPr>
      <w:bookmarkStart w:id="14" w:name="__RefHeading___Toc9179_1729075678"/>
      <w:bookmarkEnd w:id="14"/>
      <w:r>
        <w:t>1.6 Relationship to international standards</w:t>
      </w:r>
    </w:p>
    <w:p w14:paraId="1DDE0007" w14:textId="77777777" w:rsidR="00CD5946" w:rsidRDefault="00000000">
      <w:pPr>
        <w:spacing w:line="276" w:lineRule="auto"/>
      </w:pPr>
      <w:r>
        <w:rPr>
          <w:color w:val="1A1A1A"/>
        </w:rPr>
        <w:t>Where this guideline is harmonised with a source text, the source is identified at the head of each Part and Annex and consolidated in the Harmonisation Mapping (Section 3) and the Normative References (Section 6). Where sources differ on a numeric limit, the guideline adopts the stricter or most widely-cited value and cites it. Nothing in this guideline lowers a requirement of an adopting authority's national law or of the relevant pharmacopoeia.</w:t>
      </w:r>
    </w:p>
    <w:p w14:paraId="68B3BE25" w14:textId="77777777" w:rsidR="00CD5946" w:rsidRDefault="00000000">
      <w:pPr>
        <w:pStyle w:val="Heading2"/>
      </w:pPr>
      <w:bookmarkStart w:id="15" w:name="__RefHeading___Toc9181_1729075678"/>
      <w:bookmarkEnd w:id="15"/>
      <w:r>
        <w:t>1.7 Legal status and adoption model</w:t>
      </w:r>
    </w:p>
    <w:p w14:paraId="529274B8" w14:textId="77777777" w:rsidR="00CD5946" w:rsidRDefault="00000000">
      <w:pPr>
        <w:spacing w:line="276" w:lineRule="auto"/>
      </w:pPr>
      <w:r>
        <w:rPr>
          <w:color w:val="1A1A1A"/>
        </w:rPr>
        <w:t>This is a harmonised model guideline. It is intended to be adopted by reference, or transposed, into the regulatory framework of each Arab NMRA, and to be cited by manufacturers and inspectors as the common Arab GMP standard. It does not itself create legal obligations until so adopted.</w:t>
      </w:r>
    </w:p>
    <w:p w14:paraId="5794AA88" w14:textId="77777777" w:rsidR="00CD5946" w:rsidRDefault="00000000">
      <w:pPr>
        <w:pStyle w:val="Heading2"/>
      </w:pPr>
      <w:bookmarkStart w:id="16" w:name="__RefHeading___Toc9183_1729075678"/>
      <w:bookmarkEnd w:id="16"/>
      <w:r>
        <w:t>1.8 How to use this document</w:t>
      </w:r>
    </w:p>
    <w:p w14:paraId="7D5F0EA0" w14:textId="77777777" w:rsidR="00CD5946" w:rsidRDefault="00000000">
      <w:pPr>
        <w:spacing w:line="276" w:lineRule="auto"/>
      </w:pPr>
      <w:r>
        <w:rPr>
          <w:color w:val="1A1A1A"/>
        </w:rPr>
        <w:t>Read Part I as the basic GMP requirements for finished products; Part II for active substances; Part III for the supporting quality documents; and the Annexes for product-type-specific and technical requirements. Each Part and Annex opens with its principle, its primary harmonised source(s), and the key modernisations relative to the 2007 edition. Defined terms follow the harmonised glossary (Section 7).</w:t>
      </w:r>
    </w:p>
    <w:p w14:paraId="42C10D8E" w14:textId="77777777" w:rsidR="00CD5946" w:rsidRDefault="00000000">
      <w:r>
        <w:br w:type="page"/>
      </w:r>
    </w:p>
    <w:p w14:paraId="0331DD20" w14:textId="77777777" w:rsidR="00CD5946" w:rsidRDefault="00000000">
      <w:pPr>
        <w:pStyle w:val="Heading2"/>
        <w:spacing w:before="0" w:after="100"/>
      </w:pPr>
      <w:bookmarkStart w:id="17" w:name="__RefHeading___Toc9185_1729075678"/>
      <w:bookmarkEnd w:id="17"/>
      <w:r>
        <w:rPr>
          <w:rFonts w:ascii="Calibri" w:eastAsia="Calibri" w:hAnsi="Calibri"/>
          <w:color w:val="14756A"/>
          <w:sz w:val="25"/>
        </w:rPr>
        <w:lastRenderedPageBreak/>
        <w:t>1.9 Regulatory horizon — forthcoming revisions to monitor (2025–2027)</w:t>
      </w:r>
    </w:p>
    <w:p w14:paraId="2AFCD49E" w14:textId="77777777" w:rsidR="00CD5946" w:rsidRDefault="00000000">
      <w:pPr>
        <w:spacing w:before="40"/>
        <w:jc w:val="both"/>
      </w:pPr>
      <w:r>
        <w:t>This edition cites the editions in force at the date of issue. The following revisions are advancing internationally and are tracked by the Working Group; they do not yet change any requirement of this guideline.</w:t>
      </w:r>
    </w:p>
    <w:p w14:paraId="40756986" w14:textId="77777777" w:rsidR="00CD5946" w:rsidRDefault="00000000">
      <w:pPr>
        <w:spacing w:before="40" w:after="80"/>
      </w:pPr>
      <w:r>
        <w:rPr>
          <w:b/>
          <w:color w:val="B6892E"/>
          <w:sz w:val="20"/>
        </w:rPr>
        <w:t xml:space="preserve">▪ </w:t>
      </w:r>
      <w:r>
        <w:rPr>
          <w:b/>
          <w:color w:val="0E5A50"/>
          <w:sz w:val="20"/>
        </w:rPr>
        <w:t xml:space="preserve">EU GMP Annex 11 (Computerised Systems) — revision. </w:t>
      </w:r>
      <w:r>
        <w:rPr>
          <w:sz w:val="20"/>
        </w:rPr>
        <w:t>A substantially expanded draft was released for public consultation in 2025 (final expected 2026), elevating cybersecurity (with reference to ISO 27001), artificial-intelligence/machine-learning controls, data integrity and full system-lifecycle governance under the PQS. Sites should anticipate uplift to computer-system validation/assurance and supplier management.</w:t>
      </w:r>
    </w:p>
    <w:p w14:paraId="735E0607" w14:textId="77777777" w:rsidR="00CD5946" w:rsidRDefault="00000000">
      <w:pPr>
        <w:spacing w:before="40" w:after="80"/>
      </w:pPr>
      <w:r>
        <w:rPr>
          <w:b/>
          <w:color w:val="B6892E"/>
          <w:sz w:val="20"/>
        </w:rPr>
        <w:t xml:space="preserve">▪ </w:t>
      </w:r>
      <w:r>
        <w:rPr>
          <w:b/>
          <w:color w:val="0E5A50"/>
          <w:sz w:val="20"/>
        </w:rPr>
        <w:t xml:space="preserve">PIC/S — Chapter 1, Chapter 4, Annex 11 and a new Annex 22 (Artificial Intelligence). </w:t>
      </w:r>
      <w:r>
        <w:rPr>
          <w:sz w:val="20"/>
        </w:rPr>
        <w:t>Drafted by the Inspectors’ Working Group to align with ICH Q9(R1) and to bring AI/ML applications in GMP under formal expectation; in consultation, not yet adopted.</w:t>
      </w:r>
    </w:p>
    <w:p w14:paraId="791A3E44" w14:textId="77777777" w:rsidR="00CD5946" w:rsidRDefault="00000000">
      <w:pPr>
        <w:spacing w:before="40" w:after="80"/>
      </w:pPr>
      <w:r>
        <w:rPr>
          <w:b/>
          <w:color w:val="B6892E"/>
          <w:sz w:val="20"/>
        </w:rPr>
        <w:t xml:space="preserve">▪ </w:t>
      </w:r>
      <w:r>
        <w:rPr>
          <w:b/>
          <w:color w:val="0E5A50"/>
          <w:sz w:val="20"/>
        </w:rPr>
        <w:t xml:space="preserve">ICH Q1 (Stability) — consolidation. </w:t>
      </w:r>
      <w:r>
        <w:rPr>
          <w:sz w:val="20"/>
        </w:rPr>
        <w:t>A single, consolidated Q1 replacing Q1A–Q1F and relevant parts of Q5C reached Step 2 in 2025 (Step 4 anticipated from late 2026), introducing a science- and risk-based stability strategy and explicit guidance for biologics and advanced-therapy products.</w:t>
      </w:r>
    </w:p>
    <w:p w14:paraId="7ED39D20" w14:textId="77777777" w:rsidR="00CD5946" w:rsidRDefault="00000000">
      <w:pPr>
        <w:spacing w:before="40" w:after="80"/>
      </w:pPr>
      <w:r>
        <w:rPr>
          <w:b/>
          <w:color w:val="B6892E"/>
          <w:sz w:val="20"/>
        </w:rPr>
        <w:t xml:space="preserve">▪ </w:t>
      </w:r>
      <w:r>
        <w:rPr>
          <w:b/>
          <w:color w:val="0E5A50"/>
          <w:sz w:val="20"/>
        </w:rPr>
        <w:t xml:space="preserve">ICH M13 (Bioequivalence) series. </w:t>
      </w:r>
      <w:r>
        <w:rPr>
          <w:sz w:val="20"/>
        </w:rPr>
        <w:t>M13A (BE for immediate-release solid oral dosage forms) reached Step 4 in July 2024 and applies in ICH regions from 2025 (EMA effective 25 January 2025), superseding the corresponding parts of the EMA BE guideline; it is now supported by an ICH M13A Q&amp;A document. M13B (additional-strengths biowaivers) remains a Step 2 draft in consultation (2025–2026), and M13C (highly variable drugs, narrow-therapeutic-index drugs and data analysis) is in development. These are registration-domain guidelines: they inform readers of Annex A-BIO and bioequivalence laboratories operating under Chapter 6, but create no GMP requirement of themselves.</w:t>
      </w:r>
    </w:p>
    <w:p w14:paraId="173FE085" w14:textId="77777777" w:rsidR="00CD5946" w:rsidRDefault="00000000">
      <w:pPr>
        <w:spacing w:before="40" w:after="80"/>
      </w:pPr>
      <w:r>
        <w:rPr>
          <w:b/>
          <w:color w:val="B6892E"/>
          <w:sz w:val="20"/>
        </w:rPr>
        <w:t xml:space="preserve">▪ </w:t>
      </w:r>
      <w:r>
        <w:rPr>
          <w:b/>
          <w:color w:val="0E5A50"/>
          <w:sz w:val="20"/>
        </w:rPr>
        <w:t xml:space="preserve">Recently finalised and already reflected. </w:t>
      </w:r>
      <w:r>
        <w:rPr>
          <w:sz w:val="20"/>
        </w:rPr>
        <w:t>ICH Q9(R1) Quality Risk Management (2023), ICH Q2(R2)/Q14 analytical procedures (2023) and ICH Q5A(R2) viral safety (2023/24) are incorporated in the relevant Parts and Annexes of this edition.</w:t>
      </w:r>
    </w:p>
    <w:p w14:paraId="08950697" w14:textId="77777777" w:rsidR="00CD5946" w:rsidRDefault="00000000">
      <w:pPr>
        <w:spacing w:before="40" w:after="80" w:line="266" w:lineRule="auto"/>
      </w:pPr>
      <w:r>
        <w:rPr>
          <w:rFonts w:ascii="Arial" w:eastAsia="Arial" w:hAnsi="Arial"/>
          <w:b/>
          <w:bCs/>
          <w:color w:val="B6892E"/>
          <w:sz w:val="20"/>
          <w:szCs w:val="20"/>
        </w:rPr>
        <w:t xml:space="preserve">▪ </w:t>
      </w:r>
      <w:r>
        <w:rPr>
          <w:rFonts w:ascii="Arial" w:eastAsia="Arial" w:hAnsi="Arial"/>
          <w:b/>
          <w:bCs/>
          <w:color w:val="B6892E"/>
        </w:rPr>
        <w:t xml:space="preserve">2025 EU/PIC-S digital package (update, June 2026). </w:t>
      </w:r>
      <w:r>
        <w:rPr>
          <w:rFonts w:ascii="Arial" w:eastAsia="Arial" w:hAnsi="Arial"/>
          <w:color w:val="333333"/>
        </w:rPr>
        <w:t>On 7 July 2025 the EMA GMP/GDP Inspectors’ Working Group, jointly with PIC/S, released for public consultation (closed 7 October 2025; final versions expected from 2026) a revised Annex 11 (Computerised Systems), a new Annex 22 (Artificial Intelligence) and a revised Chapter 4 (Documentation). This edition introduces an anticipatory Arab Annex A-AI (Part IV) so adopters may prepare ahead of formal adoption.</w:t>
      </w:r>
    </w:p>
    <w:p w14:paraId="582A9224" w14:textId="77777777" w:rsidR="00CD5946" w:rsidRDefault="00000000">
      <w:pPr>
        <w:spacing w:before="40" w:after="80" w:line="266" w:lineRule="auto"/>
      </w:pPr>
      <w:r>
        <w:rPr>
          <w:rFonts w:ascii="Arial" w:eastAsia="Arial" w:hAnsi="Arial"/>
          <w:b/>
          <w:bCs/>
          <w:color w:val="B6892E"/>
          <w:sz w:val="20"/>
          <w:szCs w:val="20"/>
        </w:rPr>
        <w:t xml:space="preserve">▪ </w:t>
      </w:r>
      <w:r>
        <w:rPr>
          <w:rFonts w:ascii="Arial" w:eastAsia="Arial" w:hAnsi="Arial"/>
          <w:b/>
          <w:bCs/>
          <w:color w:val="B6892E"/>
        </w:rPr>
        <w:t xml:space="preserve">ICH Q3E (Extractables &amp; Leachables). </w:t>
      </w:r>
      <w:r>
        <w:rPr>
          <w:rFonts w:ascii="Arial" w:eastAsia="Arial" w:hAnsi="Arial"/>
          <w:color w:val="333333"/>
        </w:rPr>
        <w:t>A new lifecycle, risk-based E&amp;L framework reached Step 2 with public consultation from August to December 2025; relevant to primary packaging, single-use systems and the contamination control strategy.</w:t>
      </w:r>
    </w:p>
    <w:p>
      <w:pPr>
        <w:spacing w:before="40" w:after="80" w:line="266" w:lineRule="auto"/>
      </w:pPr>
      <w:r>
        <w:rPr>
          <w:rFonts w:ascii="Arial" w:eastAsia="Arial" w:hAnsi="Arial"/>
          <w:b/>
          <w:bCs/>
          <w:color w:val="B6892E"/>
          <w:sz w:val="20"/>
          <w:szCs w:val="20"/>
        </w:rPr>
        <w:t xml:space="preserve">▪ EU GMP Annex 19 (Reference and Retention Samples) — revised. Published 24 June 2026 and applicable from 24 September 2026: a new Section 9 covers reference/retention samples for parallel-imported, parallel-distributed and repackaged products, and a controlled route permits photographic or digital retention samples only where justified and agreed in advance with the competent authority, under Annex 11 record-integrity principles. The Annex 19 of this edition anticipates the revision (see its clause 19.3).</w:t>
      </w:r>
    </w:p>
    <w:p>
      <w:pPr>
        <w:spacing w:before="40" w:after="80" w:line="266" w:lineRule="auto"/>
      </w:pPr>
      <w:r>
        <w:rPr>
          <w:rFonts w:ascii="Arial" w:eastAsia="Arial" w:hAnsi="Arial"/>
          <w:b/>
          <w:bCs/>
          <w:color w:val="B6892E"/>
          <w:sz w:val="20"/>
          <w:szCs w:val="20"/>
        </w:rPr>
        <w:t xml:space="preserve">▪ PIC/S PI 006-4 — Recommendations on Validation Master Plan, IQ/OQ, Non-Sterile Process Validation and Cleaning Validation, revision 4, enters into force on 1 October 2026; directly relevant to Annex 15 practice.</w:t>
      </w:r>
    </w:p>
    <w:p w14:paraId="74354D43" w14:textId="77777777" w:rsidR="00CD5946" w:rsidRDefault="00000000">
      <w:pPr>
        <w:bidi/>
        <w:spacing w:before="80" w:after="160"/>
        <w:jc w:val="both"/>
      </w:pPr>
      <w:r>
        <w:rPr>
          <w:rFonts w:ascii="Arial" w:eastAsia="Arial" w:hAnsi="Arial"/>
          <w:color w:val="5A6B66"/>
          <w:sz w:val="20"/>
          <w:rtl/>
        </w:rPr>
        <w:t xml:space="preserve">الأفق التنظيمي: يُحدّث هذا الإصدار وفق النسخ السارية وقت الإصدار. وتتابع لجنة العمل مراجعات دولية متقدّمة (تنقيح الملحق </w:t>
      </w:r>
      <w:r>
        <w:rPr>
          <w:rFonts w:ascii="Arial" w:eastAsia="Arial" w:hAnsi="Arial"/>
          <w:color w:val="5A6B66"/>
          <w:sz w:val="20"/>
        </w:rPr>
        <w:t>11</w:t>
      </w:r>
      <w:r>
        <w:rPr>
          <w:rFonts w:ascii="Arial" w:eastAsia="Arial" w:hAnsi="Arial"/>
          <w:color w:val="5A6B66"/>
          <w:sz w:val="20"/>
          <w:rtl/>
        </w:rPr>
        <w:t xml:space="preserve"> للأنظمة المحوسبة، وملحق </w:t>
      </w:r>
      <w:r>
        <w:rPr>
          <w:rFonts w:ascii="Arial" w:eastAsia="Arial" w:hAnsi="Arial"/>
          <w:color w:val="5A6B66"/>
          <w:sz w:val="20"/>
        </w:rPr>
        <w:t>PIC/S</w:t>
      </w:r>
      <w:r>
        <w:rPr>
          <w:rFonts w:ascii="Arial" w:eastAsia="Arial" w:hAnsi="Arial"/>
          <w:color w:val="5A6B66"/>
          <w:sz w:val="20"/>
          <w:rtl/>
        </w:rPr>
        <w:t xml:space="preserve"> الجديد رقم </w:t>
      </w:r>
      <w:r>
        <w:rPr>
          <w:rFonts w:ascii="Arial" w:eastAsia="Arial" w:hAnsi="Arial"/>
          <w:color w:val="5A6B66"/>
          <w:sz w:val="20"/>
        </w:rPr>
        <w:t>22</w:t>
      </w:r>
      <w:r>
        <w:rPr>
          <w:rFonts w:ascii="Arial" w:eastAsia="Arial" w:hAnsi="Arial"/>
          <w:color w:val="5A6B66"/>
          <w:sz w:val="20"/>
          <w:rtl/>
        </w:rPr>
        <w:t xml:space="preserve"> للذكاء الاصطناعي، وتوحيد دليل الثبات </w:t>
      </w:r>
      <w:r>
        <w:rPr>
          <w:rFonts w:ascii="Arial" w:eastAsia="Arial" w:hAnsi="Arial"/>
          <w:color w:val="5A6B66"/>
          <w:sz w:val="20"/>
        </w:rPr>
        <w:t>ICH Q1</w:t>
      </w:r>
      <w:r>
        <w:rPr>
          <w:rFonts w:ascii="Arial" w:eastAsia="Arial" w:hAnsi="Arial"/>
          <w:color w:val="5A6B66"/>
          <w:sz w:val="20"/>
          <w:rtl/>
        </w:rPr>
        <w:t xml:space="preserve">، وسلسلة التكافؤ الحيوي </w:t>
      </w:r>
      <w:r>
        <w:rPr>
          <w:rFonts w:ascii="Arial" w:eastAsia="Arial" w:hAnsi="Arial"/>
          <w:color w:val="5A6B66"/>
          <w:sz w:val="20"/>
        </w:rPr>
        <w:t>ICH M13</w:t>
      </w:r>
      <w:r>
        <w:rPr>
          <w:rFonts w:ascii="Arial" w:eastAsia="Arial" w:hAnsi="Arial"/>
          <w:color w:val="5A6B66"/>
          <w:sz w:val="20"/>
          <w:rtl/>
        </w:rPr>
        <w:t>)، ولا تُغيّر هذه المراجعات أيّاً من متطلبات هذا الدليل حتى دخولها حيّز النفاذ.</w:t>
      </w:r>
    </w:p>
    <w:p w14:paraId="3BE1E98B" w14:textId="77777777" w:rsidR="00674549" w:rsidRDefault="00000000">
      <w:pPr>
        <w:pStyle w:val="Heading2"/>
      </w:pPr>
      <w:r>
        <w:rPr>
          <w:rFonts w:ascii="Calibri" w:hAnsi="Calibri"/>
          <w:sz w:val="25"/>
        </w:rPr>
        <w:t>1.10 Emerging and under-discussed issues — horizon scanning (informative)</w:t>
      </w:r>
    </w:p>
    <w:p w14:paraId="64C94A0B" w14:textId="77777777" w:rsidR="00674549" w:rsidRDefault="00000000">
      <w:pPr>
        <w:jc w:val="both"/>
      </w:pPr>
      <w:r>
        <w:rPr>
          <w:rFonts w:ascii="Arial" w:hAnsi="Arial"/>
          <w:sz w:val="20"/>
        </w:rPr>
        <w:t>This clause is informative, not normative. It identifies areas where international guidance is still maturing and where inspectorates are not yet fully calibrated. Nothing in this clause creates a requirement under this Guideline; the deontic terms of §"How to Use This Guideline" do not apply here. Manufacturers are encouraged to monitor these developments and to adopt a documented, risk-based position pending the settling of international consensus, after which the Arab GMP Working Group will issue further guidance. Cross-references point to the chapter or annex that will host any future binding text.</w:t>
      </w:r>
    </w:p>
    <w:p w14:paraId="192A6BF4" w14:textId="77777777" w:rsidR="00674549" w:rsidRDefault="00000000">
      <w:r>
        <w:rPr>
          <w:rFonts w:ascii="Arial" w:hAnsi="Arial"/>
          <w:b/>
          <w:sz w:val="20"/>
        </w:rPr>
        <w:t>A. Contamination control for advanced products and sterile manufacture</w:t>
      </w:r>
    </w:p>
    <w:p w14:paraId="0B7C2EF5" w14:textId="77777777" w:rsidR="00674549" w:rsidRDefault="00000000">
      <w:r>
        <w:rPr>
          <w:rFonts w:ascii="Arial" w:hAnsi="Arial"/>
          <w:b/>
          <w:sz w:val="20"/>
        </w:rPr>
        <w:t xml:space="preserve">▪ Advanced and biological products. </w:t>
      </w:r>
      <w:r>
        <w:rPr>
          <w:rFonts w:ascii="Arial" w:hAnsi="Arial"/>
          <w:sz w:val="20"/>
        </w:rPr>
        <w:t xml:space="preserve">Advanced therapy medicinal products (ATMPs), cell- and gene-therapy products and aseptically filled biologicals stretch the classical assumptions of EU GMP Annex 1 — closed and single-use systems, very short shelf-life, and small or single-patient batches. Where such products fall within a manufacturer’s scope, a product-specific contamination control strategy (CCS) </w:t>
        <w:lastRenderedPageBreak/>
        <w:t>should be applied, recognising that dedicated frameworks (e.g. EU GMP Part IV for ATMPs) may govern. These product classes remain outside the current scope of this edition (see §1.4.1).</w:t>
      </w:r>
    </w:p>
    <w:p w14:paraId="36223323" w14:textId="77777777" w:rsidR="00674549" w:rsidRDefault="00000000">
      <w:r>
        <w:rPr>
          <w:rFonts w:ascii="Arial" w:hAnsi="Arial"/>
          <w:b/>
          <w:sz w:val="20"/>
        </w:rPr>
        <w:t xml:space="preserve">▪ Water for Injection by membrane (cold WFI). </w:t>
      </w:r>
      <w:r>
        <w:rPr>
          <w:rFonts w:ascii="Arial" w:hAnsi="Arial"/>
          <w:sz w:val="20"/>
        </w:rPr>
        <w:t>Pharmacopoeial acceptance of non-distillation WFI (Ph. Eur., since 2017; long permitted by USP) raises microbial-control and validation questions that inspectorates are still calibrating. Where adopted, enhanced microbial and endotoxin monitoring, a robust qualification rationale and a documented CCS for the system should support the chosen route (see Annex A-WAT and Appendix B).</w:t>
      </w:r>
    </w:p>
    <w:p w14:paraId="5910A027" w14:textId="77777777" w:rsidR="00674549" w:rsidRDefault="00000000">
      <w:r>
        <w:rPr>
          <w:rFonts w:ascii="Arial" w:hAnsi="Arial"/>
          <w:b/>
          <w:sz w:val="20"/>
        </w:rPr>
        <w:t xml:space="preserve">▪ Single-use systems and PUPSIT. </w:t>
      </w:r>
      <w:r>
        <w:rPr>
          <w:rFonts w:ascii="Arial" w:hAnsi="Arial"/>
          <w:sz w:val="20"/>
        </w:rPr>
        <w:t>Extractables and leachables, component and filter integrity, and the pre-use post-sterilisation integrity testing (PUPSIT) debate remain unsettled. A documented, risk-based justification of the position adopted is expected (see Annex 1 / Annex A-CCS).</w:t>
      </w:r>
    </w:p>
    <w:p w14:paraId="6DDCDB38" w14:textId="77777777" w:rsidR="00674549" w:rsidRDefault="00000000">
      <w:r>
        <w:rPr>
          <w:rFonts w:ascii="Arial" w:hAnsi="Arial"/>
          <w:b/>
          <w:sz w:val="20"/>
        </w:rPr>
        <w:t xml:space="preserve">▪ Rapid microbiological methods (RMM). </w:t>
      </w:r>
      <w:r>
        <w:rPr>
          <w:rFonts w:ascii="Arial" w:hAnsi="Arial"/>
          <w:sz w:val="20"/>
        </w:rPr>
        <w:t>Adoption is constrained by validation uncertainty and inspector familiarity, a genuine harmonisation gap. Method equivalence and validation should follow a recognised framework (Ph. Eur. 5.1.6; USP &lt;1223&gt;) before RMM displaces a compendial method.</w:t>
      </w:r>
    </w:p>
    <w:p w14:paraId="4CD2F87E" w14:textId="77777777" w:rsidR="00674549" w:rsidRDefault="00000000">
      <w:r>
        <w:rPr>
          <w:rFonts w:ascii="Arial" w:hAnsi="Arial"/>
          <w:b/>
          <w:sz w:val="20"/>
        </w:rPr>
        <w:t xml:space="preserve">▪ Workforce competency and aseptic behaviour. </w:t>
      </w:r>
      <w:r>
        <w:rPr>
          <w:rFonts w:ascii="Arial" w:hAnsi="Arial"/>
          <w:sz w:val="20"/>
        </w:rPr>
        <w:t>The decisive contamination variable is human. Competency assessment and assurance of aseptic behaviour are weakly standardised across the region and should be addressed explicitly within the CCS and the personnel programme (Chapters 2 and the sterile annex).</w:t>
      </w:r>
    </w:p>
    <w:p w14:paraId="5493CB12" w14:textId="77777777" w:rsidR="00674549" w:rsidRDefault="00000000">
      <w:r>
        <w:rPr>
          <w:rFonts w:ascii="Arial" w:hAnsi="Arial"/>
          <w:b/>
          <w:sz w:val="20"/>
        </w:rPr>
        <w:t>B. Data integrity and computerised systems</w:t>
      </w:r>
    </w:p>
    <w:p w14:paraId="44E24E73" w14:textId="77777777" w:rsidR="00674549" w:rsidRDefault="00000000">
      <w:r>
        <w:rPr>
          <w:rFonts w:ascii="Arial" w:hAnsi="Arial"/>
          <w:b/>
          <w:sz w:val="20"/>
        </w:rPr>
        <w:t xml:space="preserve">▪ Cloud and SaaS. </w:t>
      </w:r>
      <w:r>
        <w:rPr>
          <w:rFonts w:ascii="Arial" w:hAnsi="Arial"/>
          <w:sz w:val="20"/>
        </w:rPr>
        <w:t>Where data and audit trails are hosted by third parties, configuration control, audit-trail access and provider qualification are not fully settled in current guidance. Accountability remains with the regulated user (contract giver), who should qualify the provider and define access, configuration and retention contractually (cf. PIC/S PI 041, GAMP 5 2nd ed., and the forthcoming EU/PIC/S Annex 11 revision — see §1.9).</w:t>
      </w:r>
    </w:p>
    <w:p w14:paraId="38E8749C" w14:textId="77777777" w:rsidR="00674549" w:rsidRDefault="00000000">
      <w:r>
        <w:rPr>
          <w:rFonts w:ascii="Arial" w:hAnsi="Arial"/>
          <w:b/>
          <w:sz w:val="20"/>
        </w:rPr>
        <w:t xml:space="preserve">▪ Artificial intelligence and machine-learning systems. </w:t>
      </w:r>
      <w:r>
        <w:rPr>
          <w:rFonts w:ascii="Arial" w:hAnsi="Arial"/>
          <w:sz w:val="20"/>
        </w:rPr>
        <w:t>Model versioning, training-data provenance and explainability fall outside classical computerised-system validation. A lifecycle, risk-based governance approach should be applied pending dedicated guidance (PIC/S draft Annex 22; EU Annex 11 revision). This Guideline anticipates the topic in Arab Annex A-AI.</w:t>
      </w:r>
    </w:p>
    <w:p w14:paraId="48CE4E8D" w14:textId="77777777" w:rsidR="00674549" w:rsidRDefault="00000000">
      <w:r>
        <w:rPr>
          <w:rFonts w:ascii="Arial" w:hAnsi="Arial"/>
          <w:b/>
          <w:sz w:val="20"/>
        </w:rPr>
        <w:t xml:space="preserve">▪ Data-integrity maturity and quality culture. </w:t>
      </w:r>
      <w:r>
        <w:rPr>
          <w:rFonts w:ascii="Arial" w:hAnsi="Arial"/>
          <w:sz w:val="20"/>
        </w:rPr>
        <w:t>The decisive variable is whether staff can raise problems without fear of reprisal. WHO and PIC/S increasingly look for evidence of a data-integrity maturity model and an open reporting culture, not technical controls alone (see Chapter 1 PQS and Chapter 4).</w:t>
      </w:r>
    </w:p>
    <w:p w14:paraId="2DA854CF" w14:textId="77777777" w:rsidR="00674549" w:rsidRDefault="00000000">
      <w:r>
        <w:rPr>
          <w:rFonts w:ascii="Arial" w:hAnsi="Arial"/>
          <w:b/>
          <w:sz w:val="20"/>
        </w:rPr>
        <w:t xml:space="preserve">▪ Connected / continuous manufacturing and IIoT. </w:t>
      </w:r>
      <w:r>
        <w:rPr>
          <w:rFonts w:ascii="Arial" w:hAnsi="Arial"/>
          <w:sz w:val="20"/>
        </w:rPr>
        <w:t>Continuous manufacturing is now addressed by ICH Q13; the unsettled element is the challenge that high-volume, real-time Industrial-Internet-of-Things data streams pose to review-by-exception and to traditional audit-trail review.</w:t>
      </w:r>
    </w:p>
    <w:p w14:paraId="2DCA5E05" w14:textId="77777777" w:rsidR="00674549" w:rsidRDefault="00000000">
      <w:r>
        <w:rPr>
          <w:rFonts w:ascii="Arial" w:hAnsi="Arial"/>
          <w:b/>
          <w:sz w:val="20"/>
        </w:rPr>
        <w:t xml:space="preserve">▪ Data integrity beyond the site. </w:t>
      </w:r>
      <w:r>
        <w:rPr>
          <w:rFonts w:ascii="Arial" w:hAnsi="Arial"/>
          <w:sz w:val="20"/>
        </w:rPr>
        <w:t>Data-integrity governance at outsourced (contract) laboratories, and serialisation and traceability against falsified medicines, warrant explicit attention in the regional context (Chapters 4, 7 and 8).</w:t>
      </w:r>
    </w:p>
    <w:p w14:paraId="4785B0F8" w14:textId="77777777" w:rsidR="00674549" w:rsidRDefault="00000000">
      <w:pPr>
        <w:bidi/>
        <w:jc w:val="both"/>
      </w:pPr>
      <w:r>
        <w:rPr>
          <w:rFonts w:ascii="Arial" w:hAnsi="Arial"/>
          <w:sz w:val="20"/>
          <w:rtl/>
        </w:rPr>
        <w:t>القضايا الناشئة والمسائل قليلة التناول (إرشادي): هذا البند إرشادي وليس إلزامياً، ولا ينشئ أي متطلّب بموجب هذا الدليل؛ وهو يرصد مجالات لا تزال الإرشادات الدولية فيها قيد النضج ولم تستقرّ عليها جهات التفتيش بعد. ويُشجَّع المصنّعون على متابعتها وتبنّي موقف موثّق قائم على المخاطر لحين استقرار التوافق الدولي. (أ) ضبط التلوّث للمنتجات المتقدّمة والتصنيع المعقّم: المنتجات العلاجية المتقدّمة والعلاجات الخلوية والجينية والمستحضرات الحيوية المعبّأة بأسلوب عقيم تتجاوز افتراضات الملحق 1؛ ومياه الحقن بالأغشية (WFI الباردة) تثير أسئلة في الضبط الميكروبي والتحقّق؛ والأنظمة أحادية الاستخدام واختبار سلامة المرشّح بعد التعقيم (PUPSIT)؛ والطرق الميكروبيولوجية السريعة (RMM)؛ وكفاءة العاملين والسلوك العقيم بوصفه المتغيّر الحاسم. (ب) سلامة البيانات والأنظمة المحوسبة: الحوسبة السحابية والبرمجيات كخدمة (Cloud/SaaS)؛ وأنظمة الذكاء الاصطناعي والتعلّم الآلي (يستبقها الملحق العربي A-AI)؛ ونضج ثقافة الجودة وسلامة البيانات؛ والتصنيع المترابط/المستمر وإنترنت الأشياء الصناعي؛ وسلامة البيانات لدى المختبرات المتعاقَد معها والتسلسل لمكافحة الأدوية المزيّفة.</w:t>
      </w:r>
    </w:p>
    <w:p w14:paraId="6EE2FB0C" w14:textId="77777777" w:rsidR="00CD5946" w:rsidRDefault="00000000">
      <w:pPr>
        <w:pStyle w:val="Heading1"/>
      </w:pPr>
      <w:bookmarkStart w:id="18" w:name="__RefHeading___Toc9187_1729075678"/>
      <w:bookmarkEnd w:id="18"/>
      <w:r>
        <w:lastRenderedPageBreak/>
        <w:t>2. Structure of the 2026 Edition (annotated)</w:t>
      </w:r>
    </w:p>
    <w:p w14:paraId="14C5FD37" w14:textId="77777777" w:rsidR="00CD5946" w:rsidRDefault="00000000">
      <w:pPr>
        <w:spacing w:line="276" w:lineRule="auto"/>
      </w:pPr>
      <w:r>
        <w:rPr>
          <w:color w:val="1A1A1A"/>
        </w:rPr>
        <w:t>The edition adopts the EU/PIC/S architecture: Part I (finished products), Part II (active substances), Part III (GMP-related documents), and a suite of Annexes, followed by Appendices. Each entry below states its purpose, the source guideline(s) it is harmonised with, and what is new since 2007.</w:t>
      </w:r>
    </w:p>
    <w:p w14:paraId="0A8FD238" w14:textId="77777777" w:rsidR="00CD5946" w:rsidRDefault="00000000">
      <w:pPr>
        <w:pStyle w:val="Heading2"/>
      </w:pPr>
      <w:bookmarkStart w:id="19" w:name="__RefHeading___Toc9189_1729075678"/>
      <w:bookmarkEnd w:id="19"/>
      <w:r>
        <w:t>2.1 Part I — Basic requirements for medicinal products (Chapters 1–9)</w:t>
      </w:r>
    </w:p>
    <w:p w14:paraId="4A805A67" w14:textId="77777777" w:rsidR="00CD5946" w:rsidRDefault="00000000">
      <w:pPr>
        <w:pStyle w:val="Heading3"/>
      </w:pPr>
      <w:bookmarkStart w:id="20" w:name="__RefHeading___Toc9191_1729075678"/>
      <w:bookmarkEnd w:id="20"/>
      <w:r>
        <w:t>Chapter 1 — Pharmaceutical Quality System (PQS)</w:t>
      </w:r>
    </w:p>
    <w:p w14:paraId="3918F3C4" w14:textId="77777777" w:rsidR="00CD5946" w:rsidRDefault="00000000">
      <w:pPr>
        <w:spacing w:after="40" w:line="276" w:lineRule="auto"/>
      </w:pPr>
      <w:r>
        <w:rPr>
          <w:b/>
          <w:bCs/>
          <w:color w:val="C8A24B"/>
          <w:sz w:val="19"/>
          <w:szCs w:val="19"/>
        </w:rPr>
        <w:t xml:space="preserve">Purpose: </w:t>
      </w:r>
      <w:r>
        <w:rPr>
          <w:color w:val="5A5A5A"/>
          <w:sz w:val="19"/>
          <w:szCs w:val="19"/>
        </w:rPr>
        <w:t>Establish the overarching quality system, management responsibility, product quality review, CAPA, change and knowledge management.</w:t>
      </w:r>
    </w:p>
    <w:p w14:paraId="0D4C7196" w14:textId="77777777" w:rsidR="00CD5946" w:rsidRDefault="00000000">
      <w:pPr>
        <w:spacing w:after="40" w:line="276" w:lineRule="auto"/>
      </w:pPr>
      <w:r>
        <w:rPr>
          <w:b/>
          <w:bCs/>
          <w:color w:val="C8A24B"/>
          <w:sz w:val="19"/>
          <w:szCs w:val="19"/>
        </w:rPr>
        <w:t xml:space="preserve">Primary harmonised source(s): </w:t>
      </w:r>
      <w:r>
        <w:rPr>
          <w:color w:val="5A5A5A"/>
          <w:sz w:val="19"/>
          <w:szCs w:val="19"/>
        </w:rPr>
        <w:t>EU GMP Part I Ch.1 · ICH Q10 · ICH Q9(R1) · WHO TRS 986 Annex 2 · 21 CFR 211 Subpart B</w:t>
      </w:r>
    </w:p>
    <w:p w14:paraId="48AE30A1" w14:textId="77777777" w:rsidR="00CD5946" w:rsidRDefault="00000000">
      <w:pPr>
        <w:spacing w:after="40" w:line="276" w:lineRule="auto"/>
      </w:pPr>
      <w:r>
        <w:rPr>
          <w:b/>
          <w:bCs/>
          <w:color w:val="C8A24B"/>
          <w:sz w:val="19"/>
          <w:szCs w:val="19"/>
        </w:rPr>
        <w:t xml:space="preserve">Key modernisation vs 2007: </w:t>
      </w:r>
      <w:r>
        <w:rPr>
          <w:color w:val="5A5A5A"/>
          <w:sz w:val="19"/>
          <w:szCs w:val="19"/>
        </w:rPr>
        <w:t>Replaces the 2007 'Quality' chapter; introduces the modern PQS, product quality review, QRM and knowledge management.</w:t>
      </w:r>
    </w:p>
    <w:p w14:paraId="5D8C5F9C" w14:textId="77777777" w:rsidR="00CD5946" w:rsidRDefault="00000000">
      <w:pPr>
        <w:pStyle w:val="Heading3"/>
      </w:pPr>
      <w:bookmarkStart w:id="21" w:name="__RefHeading___Toc9193_1729075678"/>
      <w:bookmarkEnd w:id="21"/>
      <w:r>
        <w:t>Chapter 2 — Personnel</w:t>
      </w:r>
    </w:p>
    <w:p w14:paraId="6D3CDCAE" w14:textId="77777777" w:rsidR="00CD5946" w:rsidRDefault="00000000">
      <w:pPr>
        <w:spacing w:after="40" w:line="276" w:lineRule="auto"/>
      </w:pPr>
      <w:r>
        <w:rPr>
          <w:b/>
          <w:bCs/>
          <w:color w:val="C8A24B"/>
          <w:sz w:val="19"/>
          <w:szCs w:val="19"/>
        </w:rPr>
        <w:t xml:space="preserve">Purpose: </w:t>
      </w:r>
      <w:r>
        <w:rPr>
          <w:color w:val="5A5A5A"/>
          <w:sz w:val="19"/>
          <w:szCs w:val="19"/>
        </w:rPr>
        <w:t>Organisation, qualifications, training, competency, hygiene and consultants.</w:t>
      </w:r>
    </w:p>
    <w:p w14:paraId="52EAE676" w14:textId="77777777" w:rsidR="00CD5946" w:rsidRDefault="00000000">
      <w:pPr>
        <w:spacing w:after="40" w:line="276" w:lineRule="auto"/>
      </w:pPr>
      <w:r>
        <w:rPr>
          <w:b/>
          <w:bCs/>
          <w:color w:val="C8A24B"/>
          <w:sz w:val="19"/>
          <w:szCs w:val="19"/>
        </w:rPr>
        <w:t xml:space="preserve">Primary harmonised source(s): </w:t>
      </w:r>
      <w:r>
        <w:rPr>
          <w:color w:val="5A5A5A"/>
          <w:sz w:val="19"/>
          <w:szCs w:val="19"/>
        </w:rPr>
        <w:t>EU GMP Ch.2 · WHO TRS 986 · 21 CFR 211 Subpart B</w:t>
      </w:r>
    </w:p>
    <w:p w14:paraId="18982266" w14:textId="77777777" w:rsidR="00CD5946" w:rsidRDefault="00000000">
      <w:pPr>
        <w:spacing w:after="40" w:line="276" w:lineRule="auto"/>
      </w:pPr>
      <w:r>
        <w:rPr>
          <w:b/>
          <w:bCs/>
          <w:color w:val="C8A24B"/>
          <w:sz w:val="19"/>
          <w:szCs w:val="19"/>
        </w:rPr>
        <w:t xml:space="preserve">Key modernisation vs 2007: </w:t>
      </w:r>
      <w:r>
        <w:rPr>
          <w:color w:val="5A5A5A"/>
          <w:sz w:val="19"/>
          <w:szCs w:val="19"/>
        </w:rPr>
        <w:t>Adds competency assessment, data-integrity culture and aseptic gowning qualification (cross-ref Annex 1).</w:t>
      </w:r>
    </w:p>
    <w:p w14:paraId="1F6C5B41" w14:textId="77777777" w:rsidR="00CD5946" w:rsidRDefault="00000000">
      <w:pPr>
        <w:pStyle w:val="Heading3"/>
      </w:pPr>
      <w:bookmarkStart w:id="22" w:name="__RefHeading___Toc9195_1729075678"/>
      <w:bookmarkEnd w:id="22"/>
      <w:r>
        <w:t>Chapter 3 — Premises and Equipment</w:t>
      </w:r>
    </w:p>
    <w:p w14:paraId="1AF588EF" w14:textId="77777777" w:rsidR="00CD5946" w:rsidRDefault="00000000">
      <w:pPr>
        <w:spacing w:after="40" w:line="276" w:lineRule="auto"/>
      </w:pPr>
      <w:r>
        <w:rPr>
          <w:b/>
          <w:bCs/>
          <w:color w:val="C8A24B"/>
          <w:sz w:val="19"/>
          <w:szCs w:val="19"/>
        </w:rPr>
        <w:t xml:space="preserve">Purpose: </w:t>
      </w:r>
      <w:r>
        <w:rPr>
          <w:color w:val="5A5A5A"/>
          <w:sz w:val="19"/>
          <w:szCs w:val="19"/>
        </w:rPr>
        <w:t>Design, qualification, cleanliness, utilities and prevention of cross-contamination.</w:t>
      </w:r>
    </w:p>
    <w:p w14:paraId="5892F4C4" w14:textId="77777777" w:rsidR="00CD5946" w:rsidRDefault="00000000">
      <w:pPr>
        <w:spacing w:after="40" w:line="276" w:lineRule="auto"/>
      </w:pPr>
      <w:r>
        <w:rPr>
          <w:b/>
          <w:bCs/>
          <w:color w:val="C8A24B"/>
          <w:sz w:val="19"/>
          <w:szCs w:val="19"/>
        </w:rPr>
        <w:t xml:space="preserve">Primary harmonised source(s): </w:t>
      </w:r>
      <w:r>
        <w:rPr>
          <w:color w:val="5A5A5A"/>
          <w:sz w:val="19"/>
          <w:szCs w:val="19"/>
        </w:rPr>
        <w:t>EU GMP Ch.3 · Annex 15 · WHO TRS 986 · 21 CFR 211 Subparts C &amp; D</w:t>
      </w:r>
    </w:p>
    <w:p w14:paraId="18C4E909" w14:textId="77777777" w:rsidR="00CD5946" w:rsidRDefault="00000000">
      <w:pPr>
        <w:spacing w:after="40" w:line="276" w:lineRule="auto"/>
      </w:pPr>
      <w:r>
        <w:rPr>
          <w:b/>
          <w:bCs/>
          <w:color w:val="C8A24B"/>
          <w:sz w:val="19"/>
          <w:szCs w:val="19"/>
        </w:rPr>
        <w:t xml:space="preserve">Key modernisation vs 2007: </w:t>
      </w:r>
      <w:r>
        <w:rPr>
          <w:color w:val="5A5A5A"/>
          <w:sz w:val="19"/>
          <w:szCs w:val="19"/>
        </w:rPr>
        <w:t>Merges the 2007 'Premises' and 'Equipment' chapters; introduces HBEL-based cross-contamination control and qualification lifecycle.</w:t>
      </w:r>
    </w:p>
    <w:p w14:paraId="552CABFA" w14:textId="77777777" w:rsidR="00CD5946" w:rsidRDefault="00000000">
      <w:pPr>
        <w:pStyle w:val="Heading3"/>
      </w:pPr>
      <w:bookmarkStart w:id="23" w:name="__RefHeading___Toc9197_1729075678"/>
      <w:bookmarkEnd w:id="23"/>
      <w:r>
        <w:t>Chapter 4 — Documentation (incl. data integrity)</w:t>
      </w:r>
    </w:p>
    <w:p w14:paraId="2DCE6805" w14:textId="77777777" w:rsidR="00CD5946" w:rsidRDefault="00000000">
      <w:pPr>
        <w:spacing w:after="40" w:line="276" w:lineRule="auto"/>
      </w:pPr>
      <w:r>
        <w:rPr>
          <w:b/>
          <w:bCs/>
          <w:color w:val="C8A24B"/>
          <w:sz w:val="19"/>
          <w:szCs w:val="19"/>
        </w:rPr>
        <w:t xml:space="preserve">Purpose: </w:t>
      </w:r>
      <w:r>
        <w:rPr>
          <w:color w:val="5A5A5A"/>
          <w:sz w:val="19"/>
          <w:szCs w:val="19"/>
        </w:rPr>
        <w:t>Documentation system, required records, retention and good documentation practice.</w:t>
      </w:r>
    </w:p>
    <w:p w14:paraId="62794541" w14:textId="77777777" w:rsidR="00CD5946" w:rsidRDefault="00000000">
      <w:pPr>
        <w:spacing w:after="40" w:line="276" w:lineRule="auto"/>
      </w:pPr>
      <w:r>
        <w:rPr>
          <w:b/>
          <w:bCs/>
          <w:color w:val="C8A24B"/>
          <w:sz w:val="19"/>
          <w:szCs w:val="19"/>
        </w:rPr>
        <w:t xml:space="preserve">Primary harmonised source(s): </w:t>
      </w:r>
      <w:r>
        <w:rPr>
          <w:color w:val="5A5A5A"/>
          <w:sz w:val="19"/>
          <w:szCs w:val="19"/>
        </w:rPr>
        <w:t>EU GMP Ch.4 · PIC/S PI 041-1 · WHO TRS 1033 Annex 4 · 21 CFR 211 Subpart J &amp; Part 11</w:t>
      </w:r>
    </w:p>
    <w:p w14:paraId="6162CCB7" w14:textId="77777777" w:rsidR="00CD5946" w:rsidRDefault="00000000">
      <w:pPr>
        <w:spacing w:after="40" w:line="276" w:lineRule="auto"/>
      </w:pPr>
      <w:r>
        <w:rPr>
          <w:b/>
          <w:bCs/>
          <w:color w:val="C8A24B"/>
          <w:sz w:val="19"/>
          <w:szCs w:val="19"/>
        </w:rPr>
        <w:t xml:space="preserve">Key modernisation vs 2007: </w:t>
      </w:r>
      <w:r>
        <w:rPr>
          <w:color w:val="5A5A5A"/>
          <w:sz w:val="19"/>
          <w:szCs w:val="19"/>
        </w:rPr>
        <w:t>Adds the full ALCOA+ data-integrity framework for paper and electronic records and audit-trail review.</w:t>
      </w:r>
    </w:p>
    <w:p w14:paraId="26547D38" w14:textId="77777777" w:rsidR="00CD5946" w:rsidRDefault="00000000">
      <w:pPr>
        <w:pStyle w:val="Heading3"/>
      </w:pPr>
      <w:bookmarkStart w:id="24" w:name="__RefHeading___Toc9199_1729075678"/>
      <w:bookmarkEnd w:id="24"/>
      <w:r>
        <w:t>Chapter 5 — Production</w:t>
      </w:r>
    </w:p>
    <w:p w14:paraId="1254A709" w14:textId="77777777" w:rsidR="00CD5946" w:rsidRDefault="00000000">
      <w:pPr>
        <w:spacing w:after="40" w:line="276" w:lineRule="auto"/>
      </w:pPr>
      <w:r>
        <w:rPr>
          <w:b/>
          <w:bCs/>
          <w:color w:val="C8A24B"/>
          <w:sz w:val="19"/>
          <w:szCs w:val="19"/>
        </w:rPr>
        <w:t xml:space="preserve">Purpose: </w:t>
      </w:r>
      <w:r>
        <w:rPr>
          <w:color w:val="5A5A5A"/>
          <w:sz w:val="19"/>
          <w:szCs w:val="19"/>
        </w:rPr>
        <w:t>Manufacturing operations, prevention of contamination/cross-contamination, validation, starting-material and supplier control.</w:t>
      </w:r>
    </w:p>
    <w:p w14:paraId="5498C801" w14:textId="77777777" w:rsidR="00CD5946" w:rsidRDefault="00000000">
      <w:pPr>
        <w:spacing w:after="40" w:line="276" w:lineRule="auto"/>
      </w:pPr>
      <w:r>
        <w:rPr>
          <w:b/>
          <w:bCs/>
          <w:color w:val="C8A24B"/>
          <w:sz w:val="19"/>
          <w:szCs w:val="19"/>
        </w:rPr>
        <w:t xml:space="preserve">Primary harmonised source(s): </w:t>
      </w:r>
      <w:r>
        <w:rPr>
          <w:color w:val="5A5A5A"/>
          <w:sz w:val="19"/>
          <w:szCs w:val="19"/>
        </w:rPr>
        <w:t>EU GMP Ch.5 · Annex 15 · EMA HBEL · ICH Q9 · 21 CFR 211 Subpart F</w:t>
      </w:r>
    </w:p>
    <w:p w14:paraId="043DB000" w14:textId="77777777" w:rsidR="00CD5946" w:rsidRDefault="00000000">
      <w:pPr>
        <w:spacing w:after="40" w:line="276" w:lineRule="auto"/>
      </w:pPr>
      <w:r>
        <w:rPr>
          <w:b/>
          <w:bCs/>
          <w:color w:val="C8A24B"/>
          <w:sz w:val="19"/>
          <w:szCs w:val="19"/>
        </w:rPr>
        <w:t xml:space="preserve">Key modernisation vs 2007: </w:t>
      </w:r>
      <w:r>
        <w:rPr>
          <w:color w:val="5A5A5A"/>
          <w:sz w:val="19"/>
          <w:szCs w:val="19"/>
        </w:rPr>
        <w:t>Adds HBEL/toxicological cross-contamination limits, formal supplier qualification and supply-chain traceability.</w:t>
      </w:r>
    </w:p>
    <w:p w14:paraId="4D95971D" w14:textId="77777777" w:rsidR="00CD5946" w:rsidRDefault="00000000">
      <w:pPr>
        <w:pStyle w:val="Heading3"/>
      </w:pPr>
      <w:bookmarkStart w:id="25" w:name="__RefHeading___Toc9201_1729075678"/>
      <w:bookmarkEnd w:id="25"/>
      <w:r>
        <w:t>Chapter 6 — Quality Control</w:t>
      </w:r>
    </w:p>
    <w:p w14:paraId="7ED30654" w14:textId="77777777" w:rsidR="00CD5946" w:rsidRDefault="00000000">
      <w:pPr>
        <w:spacing w:after="40" w:line="276" w:lineRule="auto"/>
      </w:pPr>
      <w:r>
        <w:rPr>
          <w:b/>
          <w:bCs/>
          <w:color w:val="C8A24B"/>
          <w:sz w:val="19"/>
          <w:szCs w:val="19"/>
        </w:rPr>
        <w:t xml:space="preserve">Purpose: </w:t>
      </w:r>
      <w:r>
        <w:rPr>
          <w:color w:val="5A5A5A"/>
          <w:sz w:val="19"/>
          <w:szCs w:val="19"/>
        </w:rPr>
        <w:t>Sampling, specifications, testing, OOS handling, ongoing stability and technical transfer of testing.</w:t>
      </w:r>
    </w:p>
    <w:p w14:paraId="00A6B9B5" w14:textId="77777777" w:rsidR="00CD5946" w:rsidRDefault="00000000">
      <w:pPr>
        <w:spacing w:after="40" w:line="276" w:lineRule="auto"/>
      </w:pPr>
      <w:r>
        <w:rPr>
          <w:b/>
          <w:bCs/>
          <w:color w:val="C8A24B"/>
          <w:sz w:val="19"/>
          <w:szCs w:val="19"/>
        </w:rPr>
        <w:t xml:space="preserve">Primary harmonised source(s): </w:t>
      </w:r>
      <w:r>
        <w:rPr>
          <w:color w:val="5A5A5A"/>
          <w:sz w:val="19"/>
          <w:szCs w:val="19"/>
        </w:rPr>
        <w:t>EU GMP Ch.6 · FDA OOS Guidance (2022) · ICH Q1A/Q2(R2) · 21 CFR 211 Subpart I</w:t>
      </w:r>
    </w:p>
    <w:p w14:paraId="172F0B88" w14:textId="77777777" w:rsidR="00CD5946" w:rsidRDefault="00000000">
      <w:pPr>
        <w:spacing w:after="40" w:line="276" w:lineRule="auto"/>
      </w:pPr>
      <w:r>
        <w:rPr>
          <w:b/>
          <w:bCs/>
          <w:color w:val="C8A24B"/>
          <w:sz w:val="19"/>
          <w:szCs w:val="19"/>
        </w:rPr>
        <w:t xml:space="preserve">Key modernisation vs 2007: </w:t>
      </w:r>
      <w:r>
        <w:rPr>
          <w:color w:val="5A5A5A"/>
          <w:sz w:val="19"/>
          <w:szCs w:val="19"/>
        </w:rPr>
        <w:t>Adds OOS investigation discipline, the ongoing-stability programme and analytical lifecycle (Q2(R2)/Q14).</w:t>
      </w:r>
    </w:p>
    <w:p w14:paraId="02DA0B6C" w14:textId="77777777" w:rsidR="00CD5946" w:rsidRDefault="00000000">
      <w:pPr>
        <w:pStyle w:val="Heading3"/>
      </w:pPr>
      <w:bookmarkStart w:id="26" w:name="__RefHeading___Toc9203_1729075678"/>
      <w:bookmarkEnd w:id="26"/>
      <w:r>
        <w:t>Chapter 7 — Outsourced Activities</w:t>
      </w:r>
    </w:p>
    <w:p w14:paraId="01F4D0E5" w14:textId="77777777" w:rsidR="00CD5946" w:rsidRDefault="00000000">
      <w:pPr>
        <w:spacing w:after="40" w:line="276" w:lineRule="auto"/>
      </w:pPr>
      <w:r>
        <w:rPr>
          <w:b/>
          <w:bCs/>
          <w:color w:val="C8A24B"/>
          <w:sz w:val="19"/>
          <w:szCs w:val="19"/>
        </w:rPr>
        <w:lastRenderedPageBreak/>
        <w:t xml:space="preserve">Purpose: </w:t>
      </w:r>
      <w:r>
        <w:rPr>
          <w:color w:val="5A5A5A"/>
          <w:sz w:val="19"/>
          <w:szCs w:val="19"/>
        </w:rPr>
        <w:t>Contract giver/acceptor responsibilities, technical/quality agreements.</w:t>
      </w:r>
    </w:p>
    <w:p w14:paraId="27FE81D4" w14:textId="77777777" w:rsidR="00CD5946" w:rsidRDefault="00000000">
      <w:pPr>
        <w:spacing w:after="40" w:line="276" w:lineRule="auto"/>
      </w:pPr>
      <w:r>
        <w:rPr>
          <w:b/>
          <w:bCs/>
          <w:color w:val="C8A24B"/>
          <w:sz w:val="19"/>
          <w:szCs w:val="19"/>
        </w:rPr>
        <w:t xml:space="preserve">Primary harmonised source(s): </w:t>
      </w:r>
      <w:r>
        <w:rPr>
          <w:color w:val="5A5A5A"/>
          <w:sz w:val="19"/>
          <w:szCs w:val="19"/>
        </w:rPr>
        <w:t>EU GMP Ch.7 · WHO TRS 986 · 21 CFR 211</w:t>
      </w:r>
    </w:p>
    <w:p w14:paraId="69C75D51" w14:textId="77777777" w:rsidR="00CD5946" w:rsidRDefault="00000000">
      <w:pPr>
        <w:spacing w:after="40" w:line="276" w:lineRule="auto"/>
      </w:pPr>
      <w:r>
        <w:rPr>
          <w:b/>
          <w:bCs/>
          <w:color w:val="C8A24B"/>
          <w:sz w:val="19"/>
          <w:szCs w:val="19"/>
        </w:rPr>
        <w:t xml:space="preserve">Key modernisation vs 2007: </w:t>
      </w:r>
      <w:r>
        <w:rPr>
          <w:color w:val="5A5A5A"/>
          <w:sz w:val="19"/>
          <w:szCs w:val="19"/>
        </w:rPr>
        <w:t>Replaces the 2007 'Contract production and analysis'; requires defined quality agreements and oversight.</w:t>
      </w:r>
    </w:p>
    <w:p w14:paraId="2053C8ED" w14:textId="77777777" w:rsidR="00CD5946" w:rsidRDefault="00000000">
      <w:pPr>
        <w:pStyle w:val="Heading3"/>
      </w:pPr>
      <w:bookmarkStart w:id="27" w:name="__RefHeading___Toc9205_1729075678"/>
      <w:bookmarkEnd w:id="27"/>
      <w:r>
        <w:t>Chapter 8 — Complaints and Product Recall (quality defects)</w:t>
      </w:r>
    </w:p>
    <w:p w14:paraId="494FFBD2" w14:textId="77777777" w:rsidR="00CD5946" w:rsidRDefault="00000000">
      <w:pPr>
        <w:spacing w:after="40" w:line="276" w:lineRule="auto"/>
      </w:pPr>
      <w:r>
        <w:rPr>
          <w:b/>
          <w:bCs/>
          <w:color w:val="C8A24B"/>
          <w:sz w:val="19"/>
          <w:szCs w:val="19"/>
        </w:rPr>
        <w:t xml:space="preserve">Purpose: </w:t>
      </w:r>
      <w:r>
        <w:rPr>
          <w:color w:val="5A5A5A"/>
          <w:sz w:val="19"/>
          <w:szCs w:val="19"/>
        </w:rPr>
        <w:t>Handling complaints, quality defects, recalls and reporting to authorities.</w:t>
      </w:r>
    </w:p>
    <w:p w14:paraId="1C7C8B52" w14:textId="77777777" w:rsidR="00CD5946" w:rsidRDefault="00000000">
      <w:pPr>
        <w:spacing w:after="40" w:line="276" w:lineRule="auto"/>
      </w:pPr>
      <w:r>
        <w:rPr>
          <w:b/>
          <w:bCs/>
          <w:color w:val="C8A24B"/>
          <w:sz w:val="19"/>
          <w:szCs w:val="19"/>
        </w:rPr>
        <w:t xml:space="preserve">Primary harmonised source(s): </w:t>
      </w:r>
      <w:r>
        <w:rPr>
          <w:color w:val="5A5A5A"/>
          <w:sz w:val="19"/>
          <w:szCs w:val="19"/>
        </w:rPr>
        <w:t>EU GMP Ch.8 · WHO TRS 986 · 21 CFR 211 Subpart J</w:t>
      </w:r>
    </w:p>
    <w:p w14:paraId="70F98F12" w14:textId="77777777" w:rsidR="00CD5946" w:rsidRDefault="00000000">
      <w:pPr>
        <w:spacing w:after="40" w:line="276" w:lineRule="auto"/>
      </w:pPr>
      <w:r>
        <w:rPr>
          <w:b/>
          <w:bCs/>
          <w:color w:val="C8A24B"/>
          <w:sz w:val="19"/>
          <w:szCs w:val="19"/>
        </w:rPr>
        <w:t xml:space="preserve">Key modernisation vs 2007: </w:t>
      </w:r>
      <w:r>
        <w:rPr>
          <w:color w:val="5A5A5A"/>
          <w:sz w:val="19"/>
          <w:szCs w:val="19"/>
        </w:rPr>
        <w:t>Consolidates the 2007 'Complaints' and 'Recall'; adds quality-defect risk assessment and mock-recall expectations.</w:t>
      </w:r>
    </w:p>
    <w:p w14:paraId="30F28DEA" w14:textId="77777777" w:rsidR="00CD5946" w:rsidRDefault="00000000">
      <w:pPr>
        <w:pStyle w:val="Heading3"/>
      </w:pPr>
      <w:bookmarkStart w:id="28" w:name="__RefHeading___Toc9207_1729075678"/>
      <w:bookmarkEnd w:id="28"/>
      <w:r>
        <w:t>Chapter 9 — Self-Inspection</w:t>
      </w:r>
    </w:p>
    <w:p w14:paraId="643B24E5" w14:textId="77777777" w:rsidR="00CD5946" w:rsidRDefault="00000000">
      <w:pPr>
        <w:spacing w:after="40" w:line="276" w:lineRule="auto"/>
      </w:pPr>
      <w:r>
        <w:rPr>
          <w:b/>
          <w:bCs/>
          <w:color w:val="C8A24B"/>
          <w:sz w:val="19"/>
          <w:szCs w:val="19"/>
        </w:rPr>
        <w:t xml:space="preserve">Purpose: </w:t>
      </w:r>
      <w:r>
        <w:rPr>
          <w:color w:val="5A5A5A"/>
          <w:sz w:val="19"/>
          <w:szCs w:val="19"/>
        </w:rPr>
        <w:t>Programme, independence, competency and follow-up of internal audits.</w:t>
      </w:r>
    </w:p>
    <w:p w14:paraId="4C034BB1" w14:textId="77777777" w:rsidR="00CD5946" w:rsidRDefault="00000000">
      <w:pPr>
        <w:spacing w:after="40" w:line="276" w:lineRule="auto"/>
      </w:pPr>
      <w:r>
        <w:rPr>
          <w:b/>
          <w:bCs/>
          <w:color w:val="C8A24B"/>
          <w:sz w:val="19"/>
          <w:szCs w:val="19"/>
        </w:rPr>
        <w:t xml:space="preserve">Primary harmonised source(s): </w:t>
      </w:r>
      <w:r>
        <w:rPr>
          <w:color w:val="5A5A5A"/>
          <w:sz w:val="19"/>
          <w:szCs w:val="19"/>
        </w:rPr>
        <w:t>EU GMP Ch.9 · WHO TRS 986</w:t>
      </w:r>
    </w:p>
    <w:p w14:paraId="357BB1B9" w14:textId="77777777" w:rsidR="00CD5946" w:rsidRDefault="00000000">
      <w:pPr>
        <w:spacing w:after="40" w:line="276" w:lineRule="auto"/>
      </w:pPr>
      <w:r>
        <w:rPr>
          <w:b/>
          <w:bCs/>
          <w:color w:val="C8A24B"/>
          <w:sz w:val="19"/>
          <w:szCs w:val="19"/>
        </w:rPr>
        <w:t xml:space="preserve">Key modernisation vs 2007: </w:t>
      </w:r>
      <w:r>
        <w:rPr>
          <w:color w:val="5A5A5A"/>
          <w:sz w:val="19"/>
          <w:szCs w:val="19"/>
        </w:rPr>
        <w:t>Carried forward and aligned; emphasis on independence, scope and CAPA effectiveness.</w:t>
      </w:r>
    </w:p>
    <w:p w14:paraId="655DD9AD" w14:textId="77777777" w:rsidR="00CD5946" w:rsidRDefault="00000000">
      <w:pPr>
        <w:pStyle w:val="Heading2"/>
      </w:pPr>
      <w:bookmarkStart w:id="29" w:name="__RefHeading___Toc9209_1729075678"/>
      <w:bookmarkEnd w:id="29"/>
      <w:r>
        <w:t>2.2 Part II — Basic requirements for active substances used as starting materials (APIs)</w:t>
      </w:r>
    </w:p>
    <w:p w14:paraId="5C74A906" w14:textId="77777777" w:rsidR="00CD5946" w:rsidRDefault="00000000">
      <w:pPr>
        <w:pStyle w:val="Heading3"/>
      </w:pPr>
      <w:bookmarkStart w:id="30" w:name="__RefHeading___Toc9211_1729075678"/>
      <w:bookmarkEnd w:id="30"/>
      <w:r>
        <w:t>Part II — Good Manufacturing Practice for Active Pharmaceutical Ingredients</w:t>
      </w:r>
    </w:p>
    <w:p w14:paraId="02852998" w14:textId="77777777" w:rsidR="00CD5946" w:rsidRDefault="00000000">
      <w:pPr>
        <w:spacing w:after="40" w:line="276" w:lineRule="auto"/>
      </w:pPr>
      <w:r>
        <w:rPr>
          <w:b/>
          <w:bCs/>
          <w:color w:val="C8A24B"/>
          <w:sz w:val="19"/>
          <w:szCs w:val="19"/>
        </w:rPr>
        <w:t xml:space="preserve">Purpose: </w:t>
      </w:r>
      <w:r>
        <w:rPr>
          <w:color w:val="5A5A5A"/>
          <w:sz w:val="19"/>
          <w:szCs w:val="19"/>
        </w:rPr>
        <w:t>Full GMP for the manufacture of active substances.</w:t>
      </w:r>
    </w:p>
    <w:p w14:paraId="49995A99" w14:textId="77777777" w:rsidR="00CD5946" w:rsidRDefault="00000000">
      <w:pPr>
        <w:spacing w:after="40" w:line="276" w:lineRule="auto"/>
      </w:pPr>
      <w:r>
        <w:rPr>
          <w:b/>
          <w:bCs/>
          <w:color w:val="C8A24B"/>
          <w:sz w:val="19"/>
          <w:szCs w:val="19"/>
        </w:rPr>
        <w:t xml:space="preserve">Primary harmonised source(s): </w:t>
      </w:r>
      <w:r>
        <w:rPr>
          <w:color w:val="5A5A5A"/>
          <w:sz w:val="19"/>
          <w:szCs w:val="19"/>
        </w:rPr>
        <w:t>ICH Q7 (= EU GMP Part II = PIC/S Part II) · 21 CFR 211 (as applicable)</w:t>
      </w:r>
    </w:p>
    <w:p w14:paraId="1B358A23" w14:textId="77777777" w:rsidR="00CD5946" w:rsidRDefault="00000000">
      <w:pPr>
        <w:spacing w:after="40" w:line="276" w:lineRule="auto"/>
      </w:pPr>
      <w:r>
        <w:rPr>
          <w:b/>
          <w:bCs/>
          <w:color w:val="C8A24B"/>
          <w:sz w:val="19"/>
          <w:szCs w:val="19"/>
        </w:rPr>
        <w:t xml:space="preserve">Key modernisation vs 2007: </w:t>
      </w:r>
      <w:r>
        <w:rPr>
          <w:color w:val="5A5A5A"/>
          <w:sz w:val="19"/>
          <w:szCs w:val="19"/>
        </w:rPr>
        <w:t>New as a distinct Part; the 2007 edition had no dedicated API GMP. Adopts ICH Q7 in full.</w:t>
      </w:r>
    </w:p>
    <w:p w14:paraId="70011011" w14:textId="77777777" w:rsidR="00CD5946" w:rsidRDefault="00000000">
      <w:pPr>
        <w:pStyle w:val="Heading2"/>
      </w:pPr>
      <w:bookmarkStart w:id="31" w:name="__RefHeading___Toc9213_1729075678"/>
      <w:bookmarkEnd w:id="31"/>
      <w:r>
        <w:t>2.3 Part III — GMP-related documents</w:t>
      </w:r>
    </w:p>
    <w:p w14:paraId="73D25495" w14:textId="77777777" w:rsidR="00CD5946" w:rsidRDefault="00000000">
      <w:pPr>
        <w:pStyle w:val="Heading3"/>
      </w:pPr>
      <w:bookmarkStart w:id="32" w:name="__RefHeading___Toc9215_1729075678"/>
      <w:bookmarkEnd w:id="32"/>
      <w:r>
        <w:t>Site Master File (SMF)</w:t>
      </w:r>
    </w:p>
    <w:p w14:paraId="6703D46F" w14:textId="77777777" w:rsidR="00CD5946" w:rsidRDefault="00000000">
      <w:pPr>
        <w:spacing w:after="40" w:line="276" w:lineRule="auto"/>
      </w:pPr>
      <w:r>
        <w:rPr>
          <w:b/>
          <w:bCs/>
          <w:color w:val="C8A24B"/>
          <w:sz w:val="19"/>
          <w:szCs w:val="19"/>
        </w:rPr>
        <w:t xml:space="preserve">Purpose: </w:t>
      </w:r>
      <w:r>
        <w:rPr>
          <w:color w:val="5A5A5A"/>
          <w:sz w:val="19"/>
          <w:szCs w:val="19"/>
        </w:rPr>
        <w:t>Format and content of the manufacturer's SMF.</w:t>
      </w:r>
    </w:p>
    <w:p w14:paraId="18F98D5A" w14:textId="77777777" w:rsidR="00CD5946" w:rsidRDefault="00000000">
      <w:pPr>
        <w:spacing w:after="40" w:line="276" w:lineRule="auto"/>
      </w:pPr>
      <w:r>
        <w:rPr>
          <w:b/>
          <w:bCs/>
          <w:color w:val="C8A24B"/>
          <w:sz w:val="19"/>
          <w:szCs w:val="19"/>
        </w:rPr>
        <w:t xml:space="preserve">Primary harmonised source(s): </w:t>
      </w:r>
      <w:r>
        <w:rPr>
          <w:color w:val="5A5A5A"/>
          <w:sz w:val="19"/>
          <w:szCs w:val="19"/>
        </w:rPr>
        <w:t xml:space="preserve">EU GMP Part III (SMF, PIC/S PE 008) </w:t>
      </w:r>
    </w:p>
    <w:p w14:paraId="38B0862B" w14:textId="77777777" w:rsidR="00CD5946" w:rsidRDefault="00000000">
      <w:pPr>
        <w:spacing w:after="40" w:line="276" w:lineRule="auto"/>
      </w:pPr>
      <w:r>
        <w:rPr>
          <w:b/>
          <w:bCs/>
          <w:color w:val="C8A24B"/>
          <w:sz w:val="19"/>
          <w:szCs w:val="19"/>
        </w:rPr>
        <w:t xml:space="preserve">Key modernisation vs 2007: </w:t>
      </w:r>
      <w:r>
        <w:rPr>
          <w:color w:val="5A5A5A"/>
          <w:sz w:val="19"/>
          <w:szCs w:val="19"/>
        </w:rPr>
        <w:t>New; standardises the SMF expected by inspectorates and for PIC/S-style inspection.</w:t>
      </w:r>
    </w:p>
    <w:p w14:paraId="6717FC9B" w14:textId="77777777" w:rsidR="00CD5946" w:rsidRDefault="00000000">
      <w:pPr>
        <w:pStyle w:val="Heading3"/>
      </w:pPr>
      <w:bookmarkStart w:id="33" w:name="__RefHeading___Toc9217_1729075678"/>
      <w:bookmarkEnd w:id="33"/>
      <w:r>
        <w:t>ICH Q9(R1) — Quality Risk Management</w:t>
      </w:r>
    </w:p>
    <w:p w14:paraId="1E42B01C" w14:textId="77777777" w:rsidR="00CD5946" w:rsidRDefault="00000000">
      <w:pPr>
        <w:spacing w:after="40" w:line="276" w:lineRule="auto"/>
      </w:pPr>
      <w:r>
        <w:rPr>
          <w:b/>
          <w:bCs/>
          <w:color w:val="C8A24B"/>
          <w:sz w:val="19"/>
          <w:szCs w:val="19"/>
        </w:rPr>
        <w:t xml:space="preserve">Purpose: </w:t>
      </w:r>
      <w:r>
        <w:rPr>
          <w:color w:val="5A5A5A"/>
          <w:sz w:val="19"/>
          <w:szCs w:val="19"/>
        </w:rPr>
        <w:t>Principles and tools of QRM applied throughout GMP.</w:t>
      </w:r>
    </w:p>
    <w:p w14:paraId="7F6AE7ED" w14:textId="77777777" w:rsidR="00CD5946" w:rsidRDefault="00000000">
      <w:pPr>
        <w:spacing w:after="40" w:line="276" w:lineRule="auto"/>
      </w:pPr>
      <w:r>
        <w:rPr>
          <w:b/>
          <w:bCs/>
          <w:color w:val="C8A24B"/>
          <w:sz w:val="19"/>
          <w:szCs w:val="19"/>
        </w:rPr>
        <w:t xml:space="preserve">Primary harmonised source(s): </w:t>
      </w:r>
      <w:r>
        <w:rPr>
          <w:color w:val="5A5A5A"/>
          <w:sz w:val="19"/>
          <w:szCs w:val="19"/>
        </w:rPr>
        <w:t>EU GMP Part III · ICH Q9(R1) (2023)</w:t>
      </w:r>
    </w:p>
    <w:p w14:paraId="4350736C" w14:textId="77777777" w:rsidR="00CD5946" w:rsidRDefault="00000000">
      <w:pPr>
        <w:spacing w:after="40" w:line="276" w:lineRule="auto"/>
      </w:pPr>
      <w:r>
        <w:rPr>
          <w:b/>
          <w:bCs/>
          <w:color w:val="C8A24B"/>
          <w:sz w:val="19"/>
          <w:szCs w:val="19"/>
        </w:rPr>
        <w:t xml:space="preserve">Key modernisation vs 2007: </w:t>
      </w:r>
      <w:r>
        <w:rPr>
          <w:color w:val="5A5A5A"/>
          <w:sz w:val="19"/>
          <w:szCs w:val="19"/>
        </w:rPr>
        <w:t>New; embeds formal QRM as a cross-cutting requirement.</w:t>
      </w:r>
    </w:p>
    <w:p w14:paraId="0068C7B0" w14:textId="77777777" w:rsidR="00CD5946" w:rsidRDefault="00000000">
      <w:pPr>
        <w:pStyle w:val="Heading3"/>
      </w:pPr>
      <w:bookmarkStart w:id="34" w:name="__RefHeading___Toc9219_1729075678"/>
      <w:bookmarkEnd w:id="34"/>
      <w:r>
        <w:t>ICH Q10 — Pharmaceutical Quality System</w:t>
      </w:r>
    </w:p>
    <w:p w14:paraId="4EC1490F" w14:textId="77777777" w:rsidR="00CD5946" w:rsidRDefault="00000000">
      <w:pPr>
        <w:spacing w:after="40" w:line="276" w:lineRule="auto"/>
      </w:pPr>
      <w:r>
        <w:rPr>
          <w:b/>
          <w:bCs/>
          <w:color w:val="C8A24B"/>
          <w:sz w:val="19"/>
          <w:szCs w:val="19"/>
        </w:rPr>
        <w:t xml:space="preserve">Purpose: </w:t>
      </w:r>
      <w:r>
        <w:rPr>
          <w:color w:val="5A5A5A"/>
          <w:sz w:val="19"/>
          <w:szCs w:val="19"/>
        </w:rPr>
        <w:t>Model PQS spanning the product lifecycle.</w:t>
      </w:r>
    </w:p>
    <w:p w14:paraId="681C9F09" w14:textId="77777777" w:rsidR="00CD5946" w:rsidRDefault="00000000">
      <w:pPr>
        <w:spacing w:after="40" w:line="276" w:lineRule="auto"/>
      </w:pPr>
      <w:r>
        <w:rPr>
          <w:b/>
          <w:bCs/>
          <w:color w:val="C8A24B"/>
          <w:sz w:val="19"/>
          <w:szCs w:val="19"/>
        </w:rPr>
        <w:t xml:space="preserve">Primary harmonised source(s): </w:t>
      </w:r>
      <w:r>
        <w:rPr>
          <w:color w:val="5A5A5A"/>
          <w:sz w:val="19"/>
          <w:szCs w:val="19"/>
        </w:rPr>
        <w:t>EU GMP Part III · ICH Q10</w:t>
      </w:r>
    </w:p>
    <w:p w14:paraId="2D0E1BA6" w14:textId="77777777" w:rsidR="00CD5946" w:rsidRDefault="00000000">
      <w:pPr>
        <w:spacing w:after="40" w:line="276" w:lineRule="auto"/>
      </w:pPr>
      <w:r>
        <w:rPr>
          <w:b/>
          <w:bCs/>
          <w:color w:val="C8A24B"/>
          <w:sz w:val="19"/>
          <w:szCs w:val="19"/>
        </w:rPr>
        <w:t xml:space="preserve">Key modernisation vs 2007: </w:t>
      </w:r>
      <w:r>
        <w:rPr>
          <w:color w:val="5A5A5A"/>
          <w:sz w:val="19"/>
          <w:szCs w:val="19"/>
        </w:rPr>
        <w:t>New; underpins Chapter 1.</w:t>
      </w:r>
    </w:p>
    <w:p w14:paraId="1147810E" w14:textId="77777777" w:rsidR="00CD5946" w:rsidRDefault="00000000">
      <w:pPr>
        <w:pStyle w:val="Heading3"/>
      </w:pPr>
      <w:bookmarkStart w:id="35" w:name="__RefHeading___Toc9221_1729075678"/>
      <w:bookmarkEnd w:id="35"/>
      <w:r>
        <w:t>Batch certificate &amp; site transfer templates</w:t>
      </w:r>
    </w:p>
    <w:p w14:paraId="7F2EB014" w14:textId="77777777" w:rsidR="00CD5946" w:rsidRDefault="00000000">
      <w:pPr>
        <w:spacing w:after="40" w:line="276" w:lineRule="auto"/>
      </w:pPr>
      <w:r>
        <w:rPr>
          <w:b/>
          <w:bCs/>
          <w:color w:val="C8A24B"/>
          <w:sz w:val="19"/>
          <w:szCs w:val="19"/>
        </w:rPr>
        <w:t xml:space="preserve">Purpose: </w:t>
      </w:r>
      <w:r>
        <w:rPr>
          <w:color w:val="5A5A5A"/>
          <w:sz w:val="19"/>
          <w:szCs w:val="19"/>
        </w:rPr>
        <w:t>Harmonised batch-certificate content (MRA-style) and guidance on transfers.</w:t>
      </w:r>
    </w:p>
    <w:p w14:paraId="3D25DFBC" w14:textId="77777777" w:rsidR="00CD5946" w:rsidRDefault="00000000">
      <w:pPr>
        <w:spacing w:after="40" w:line="276" w:lineRule="auto"/>
      </w:pPr>
      <w:r>
        <w:rPr>
          <w:b/>
          <w:bCs/>
          <w:color w:val="C8A24B"/>
          <w:sz w:val="19"/>
          <w:szCs w:val="19"/>
        </w:rPr>
        <w:t xml:space="preserve">Primary harmonised source(s): </w:t>
      </w:r>
      <w:r>
        <w:rPr>
          <w:color w:val="5A5A5A"/>
          <w:sz w:val="19"/>
          <w:szCs w:val="19"/>
        </w:rPr>
        <w:t>EU GMP Part III (MRA batch certificate) · PIC/S</w:t>
      </w:r>
    </w:p>
    <w:p w14:paraId="7104FB7F" w14:textId="77777777" w:rsidR="00CD5946" w:rsidRDefault="00000000">
      <w:pPr>
        <w:spacing w:after="40" w:line="276" w:lineRule="auto"/>
      </w:pPr>
      <w:r>
        <w:rPr>
          <w:b/>
          <w:bCs/>
          <w:color w:val="C8A24B"/>
          <w:sz w:val="19"/>
          <w:szCs w:val="19"/>
        </w:rPr>
        <w:t xml:space="preserve">Key modernisation vs 2007: </w:t>
      </w:r>
      <w:r>
        <w:rPr>
          <w:color w:val="5A5A5A"/>
          <w:sz w:val="19"/>
          <w:szCs w:val="19"/>
        </w:rPr>
        <w:t>New; supports reliance and mutual recognition among Arab/PIC/S authorities.</w:t>
      </w:r>
    </w:p>
    <w:p w14:paraId="67312CEC" w14:textId="77777777" w:rsidR="00CD5946" w:rsidRDefault="00000000">
      <w:pPr>
        <w:pStyle w:val="Heading2"/>
      </w:pPr>
      <w:bookmarkStart w:id="36" w:name="__RefHeading___Toc9223_1729075678"/>
      <w:bookmarkEnd w:id="36"/>
      <w:r>
        <w:t>2.4 Annexes</w:t>
      </w:r>
    </w:p>
    <w:p w14:paraId="64954840" w14:textId="77777777" w:rsidR="00CD5946" w:rsidRDefault="00000000">
      <w:pPr>
        <w:spacing w:line="276" w:lineRule="auto"/>
      </w:pPr>
      <w:r>
        <w:rPr>
          <w:color w:val="1A1A1A"/>
        </w:rPr>
        <w:lastRenderedPageBreak/>
        <w:t>The annexes follow EU/PIC-S numbering and semantics — in particular, Annex 2B carries the biological products content (matching PIC/S PE 009-17 Annex 2B and SFDA Annex 2B), while PIC/S Annex 2A (ATMPs) is not adopted in this edition (see §1.4.1) — plus dedicated Arab annexes for cross-cutting modern topics.</w:t>
      </w:r>
    </w:p>
    <w:tbl>
      <w:tblPr>
        <w:tblW w:w="9360" w:type="dxa"/>
        <w:tblInd w:w="92" w:type="dxa"/>
        <w:tblLayout w:type="fixed"/>
        <w:tblCellMar>
          <w:top w:w="60" w:type="dxa"/>
          <w:left w:w="90" w:type="dxa"/>
          <w:bottom w:w="60" w:type="dxa"/>
          <w:right w:w="90" w:type="dxa"/>
        </w:tblCellMar>
        <w:tblLook w:val="0000" w:firstRow="0" w:lastRow="0" w:firstColumn="0" w:lastColumn="0" w:noHBand="0" w:noVBand="0"/>
      </w:tblPr>
      <w:tblGrid>
        <w:gridCol w:w="1096"/>
        <w:gridCol w:w="4604"/>
        <w:gridCol w:w="3660"/>
      </w:tblGrid>
      <w:tr w:rsidR="00CD5946" w14:paraId="6F2BC08D" w14:textId="77777777">
        <w:trPr>
          <w:tblHeader/>
        </w:trPr>
        <w:tc>
          <w:tcPr>
            <w:tcW w:w="1096" w:type="dxa"/>
            <w:tcBorders>
              <w:top w:val="single" w:sz="2" w:space="0" w:color="BFC9C0"/>
              <w:left w:val="single" w:sz="2" w:space="0" w:color="BFC9C0"/>
              <w:bottom w:val="single" w:sz="2" w:space="0" w:color="BFC9C0"/>
              <w:right w:val="single" w:sz="2" w:space="0" w:color="BFC9C0"/>
            </w:tcBorders>
            <w:shd w:val="clear" w:color="auto" w:fill="0E5A50"/>
          </w:tcPr>
          <w:p w14:paraId="4E01BC61" w14:textId="77777777" w:rsidR="00CD5946" w:rsidRDefault="00000000">
            <w:pPr>
              <w:spacing w:line="276" w:lineRule="auto"/>
            </w:pPr>
            <w:r>
              <w:rPr>
                <w:b/>
                <w:bCs/>
                <w:color w:val="FFFFFF"/>
                <w:sz w:val="18"/>
                <w:szCs w:val="18"/>
              </w:rPr>
              <w:t>Annex</w:t>
            </w:r>
          </w:p>
        </w:tc>
        <w:tc>
          <w:tcPr>
            <w:tcW w:w="4604" w:type="dxa"/>
            <w:tcBorders>
              <w:top w:val="single" w:sz="2" w:space="0" w:color="BFC9C0"/>
              <w:left w:val="single" w:sz="2" w:space="0" w:color="BFC9C0"/>
              <w:bottom w:val="single" w:sz="2" w:space="0" w:color="BFC9C0"/>
              <w:right w:val="single" w:sz="2" w:space="0" w:color="BFC9C0"/>
            </w:tcBorders>
            <w:shd w:val="clear" w:color="auto" w:fill="0E5A50"/>
          </w:tcPr>
          <w:p w14:paraId="33A4BC1E" w14:textId="77777777" w:rsidR="00CD5946" w:rsidRDefault="00000000">
            <w:pPr>
              <w:spacing w:line="276" w:lineRule="auto"/>
            </w:pPr>
            <w:r>
              <w:rPr>
                <w:b/>
                <w:bCs/>
                <w:color w:val="FFFFFF"/>
                <w:sz w:val="18"/>
                <w:szCs w:val="18"/>
              </w:rPr>
              <w:t>Title / scope</w:t>
            </w:r>
          </w:p>
        </w:tc>
        <w:tc>
          <w:tcPr>
            <w:tcW w:w="3660" w:type="dxa"/>
            <w:tcBorders>
              <w:top w:val="single" w:sz="2" w:space="0" w:color="BFC9C0"/>
              <w:left w:val="single" w:sz="2" w:space="0" w:color="BFC9C0"/>
              <w:bottom w:val="single" w:sz="2" w:space="0" w:color="BFC9C0"/>
              <w:right w:val="single" w:sz="2" w:space="0" w:color="BFC9C0"/>
            </w:tcBorders>
            <w:shd w:val="clear" w:color="auto" w:fill="0E5A50"/>
          </w:tcPr>
          <w:p w14:paraId="51D18D6F" w14:textId="77777777" w:rsidR="00CD5946" w:rsidRDefault="00000000">
            <w:pPr>
              <w:spacing w:line="276" w:lineRule="auto"/>
            </w:pPr>
            <w:r>
              <w:rPr>
                <w:b/>
                <w:bCs/>
                <w:color w:val="FFFFFF"/>
                <w:sz w:val="18"/>
                <w:szCs w:val="18"/>
              </w:rPr>
              <w:t>Primary harmonised source(s)</w:t>
            </w:r>
          </w:p>
        </w:tc>
      </w:tr>
      <w:tr w:rsidR="00CD5946" w14:paraId="6F36AFB9" w14:textId="77777777">
        <w:tc>
          <w:tcPr>
            <w:tcW w:w="1096" w:type="dxa"/>
            <w:tcBorders>
              <w:top w:val="single" w:sz="2" w:space="0" w:color="BFC9C0"/>
              <w:left w:val="single" w:sz="2" w:space="0" w:color="BFC9C0"/>
              <w:bottom w:val="single" w:sz="2" w:space="0" w:color="BFC9C0"/>
              <w:right w:val="single" w:sz="2" w:space="0" w:color="BFC9C0"/>
            </w:tcBorders>
            <w:shd w:val="clear" w:color="auto" w:fill="FFFFFF"/>
          </w:tcPr>
          <w:p w14:paraId="7C86CA45" w14:textId="77777777" w:rsidR="00CD5946" w:rsidRDefault="00000000">
            <w:pPr>
              <w:spacing w:line="276" w:lineRule="auto"/>
            </w:pPr>
            <w:r>
              <w:rPr>
                <w:color w:val="1A1A1A"/>
                <w:sz w:val="18"/>
                <w:szCs w:val="18"/>
              </w:rPr>
              <w:t>1</w:t>
            </w:r>
          </w:p>
        </w:tc>
        <w:tc>
          <w:tcPr>
            <w:tcW w:w="4604" w:type="dxa"/>
            <w:tcBorders>
              <w:top w:val="single" w:sz="2" w:space="0" w:color="BFC9C0"/>
              <w:left w:val="single" w:sz="2" w:space="0" w:color="BFC9C0"/>
              <w:bottom w:val="single" w:sz="2" w:space="0" w:color="BFC9C0"/>
              <w:right w:val="single" w:sz="2" w:space="0" w:color="BFC9C0"/>
            </w:tcBorders>
            <w:shd w:val="clear" w:color="auto" w:fill="FFFFFF"/>
          </w:tcPr>
          <w:p w14:paraId="5A0AAC61" w14:textId="77777777" w:rsidR="00CD5946" w:rsidRDefault="00000000">
            <w:pPr>
              <w:spacing w:line="276" w:lineRule="auto"/>
            </w:pPr>
            <w:r>
              <w:rPr>
                <w:color w:val="1A1A1A"/>
                <w:sz w:val="18"/>
                <w:szCs w:val="18"/>
              </w:rPr>
              <w:t>Manufacture of Sterile Medicinal Products — CCS, QRM, barrier technology, cleanroom grades, media fills</w:t>
            </w:r>
          </w:p>
        </w:tc>
        <w:tc>
          <w:tcPr>
            <w:tcW w:w="3660" w:type="dxa"/>
            <w:tcBorders>
              <w:top w:val="single" w:sz="2" w:space="0" w:color="BFC9C0"/>
              <w:left w:val="single" w:sz="2" w:space="0" w:color="BFC9C0"/>
              <w:bottom w:val="single" w:sz="2" w:space="0" w:color="BFC9C0"/>
              <w:right w:val="single" w:sz="2" w:space="0" w:color="BFC9C0"/>
            </w:tcBorders>
            <w:shd w:val="clear" w:color="auto" w:fill="FFFFFF"/>
          </w:tcPr>
          <w:p w14:paraId="6683F40E" w14:textId="77777777" w:rsidR="00CD5946" w:rsidRDefault="00000000">
            <w:pPr>
              <w:spacing w:line="276" w:lineRule="auto"/>
            </w:pPr>
            <w:r>
              <w:rPr>
                <w:color w:val="1A1A1A"/>
                <w:sz w:val="18"/>
                <w:szCs w:val="18"/>
              </w:rPr>
              <w:t>EU GMP Annex 1 (2022) · ISO 14644 · WHO TRS</w:t>
            </w:r>
          </w:p>
        </w:tc>
      </w:tr>
      <w:tr w:rsidR="00CD5946" w14:paraId="6EFBC236" w14:textId="77777777">
        <w:tc>
          <w:tcPr>
            <w:tcW w:w="1096" w:type="dxa"/>
            <w:tcBorders>
              <w:top w:val="single" w:sz="2" w:space="0" w:color="BFC9C0"/>
              <w:left w:val="single" w:sz="2" w:space="0" w:color="BFC9C0"/>
              <w:bottom w:val="single" w:sz="2" w:space="0" w:color="BFC9C0"/>
              <w:right w:val="single" w:sz="2" w:space="0" w:color="BFC9C0"/>
            </w:tcBorders>
            <w:shd w:val="clear" w:color="auto" w:fill="EEF3F1"/>
          </w:tcPr>
          <w:p w14:paraId="200048F7" w14:textId="77777777" w:rsidR="00CD5946" w:rsidRDefault="00000000">
            <w:pPr>
              <w:spacing w:line="276" w:lineRule="auto"/>
            </w:pPr>
            <w:r>
              <w:rPr>
                <w:color w:val="1A1A1A"/>
                <w:sz w:val="18"/>
                <w:szCs w:val="18"/>
              </w:rPr>
              <w:t>2B</w:t>
            </w:r>
          </w:p>
        </w:tc>
        <w:tc>
          <w:tcPr>
            <w:tcW w:w="4604" w:type="dxa"/>
            <w:tcBorders>
              <w:top w:val="single" w:sz="2" w:space="0" w:color="BFC9C0"/>
              <w:left w:val="single" w:sz="2" w:space="0" w:color="BFC9C0"/>
              <w:bottom w:val="single" w:sz="2" w:space="0" w:color="BFC9C0"/>
              <w:right w:val="single" w:sz="2" w:space="0" w:color="BFC9C0"/>
            </w:tcBorders>
            <w:shd w:val="clear" w:color="auto" w:fill="EEF3F1"/>
          </w:tcPr>
          <w:p w14:paraId="45FBEFD7" w14:textId="77777777" w:rsidR="00CD5946" w:rsidRDefault="00000000">
            <w:pPr>
              <w:spacing w:line="276" w:lineRule="auto"/>
            </w:pPr>
            <w:r>
              <w:rPr>
                <w:color w:val="1A1A1A"/>
                <w:sz w:val="18"/>
                <w:szCs w:val="18"/>
              </w:rPr>
              <w:t>Manufacture of Biological Active Substances and Medicinal Products (incl. biotechnology-derived products, mAbs and vaccines; ATMPs / cell &amp; gene-therapy products are excluded — see §1.4.1)</w:t>
            </w:r>
          </w:p>
        </w:tc>
        <w:tc>
          <w:tcPr>
            <w:tcW w:w="3660" w:type="dxa"/>
            <w:tcBorders>
              <w:top w:val="single" w:sz="2" w:space="0" w:color="BFC9C0"/>
              <w:left w:val="single" w:sz="2" w:space="0" w:color="BFC9C0"/>
              <w:bottom w:val="single" w:sz="2" w:space="0" w:color="BFC9C0"/>
              <w:right w:val="single" w:sz="2" w:space="0" w:color="BFC9C0"/>
            </w:tcBorders>
            <w:shd w:val="clear" w:color="auto" w:fill="EEF3F1"/>
          </w:tcPr>
          <w:p w14:paraId="6D2CE937" w14:textId="77777777" w:rsidR="00CD5946" w:rsidRDefault="00000000">
            <w:pPr>
              <w:spacing w:line="276" w:lineRule="auto"/>
            </w:pPr>
            <w:r>
              <w:rPr>
                <w:color w:val="1A1A1A"/>
                <w:sz w:val="18"/>
                <w:szCs w:val="18"/>
              </w:rPr>
              <w:t>EU GMP Annex 2 (2018) · PIC/S PE 009-17 Annex 2B · SFDA Annex 2B · ICH Q5A(R2)–Q5E, Q6B, Q11 · WHO TRS</w:t>
            </w:r>
          </w:p>
        </w:tc>
      </w:tr>
      <w:tr w:rsidR="00CD5946" w14:paraId="06E140CF" w14:textId="77777777">
        <w:tc>
          <w:tcPr>
            <w:tcW w:w="1096" w:type="dxa"/>
            <w:tcBorders>
              <w:top w:val="single" w:sz="2" w:space="0" w:color="BFC9C0"/>
              <w:left w:val="single" w:sz="2" w:space="0" w:color="BFC9C0"/>
              <w:bottom w:val="single" w:sz="2" w:space="0" w:color="BFC9C0"/>
              <w:right w:val="single" w:sz="2" w:space="0" w:color="BFC9C0"/>
            </w:tcBorders>
            <w:shd w:val="clear" w:color="auto" w:fill="FFFFFF"/>
          </w:tcPr>
          <w:p w14:paraId="4B568CB9" w14:textId="77777777" w:rsidR="00CD5946" w:rsidRDefault="00000000">
            <w:pPr>
              <w:spacing w:line="276" w:lineRule="auto"/>
            </w:pPr>
            <w:r>
              <w:rPr>
                <w:color w:val="1A1A1A"/>
                <w:sz w:val="18"/>
                <w:szCs w:val="18"/>
              </w:rPr>
              <w:t>A-TBP</w:t>
            </w:r>
          </w:p>
        </w:tc>
        <w:tc>
          <w:tcPr>
            <w:tcW w:w="4604" w:type="dxa"/>
            <w:tcBorders>
              <w:top w:val="single" w:sz="2" w:space="0" w:color="BFC9C0"/>
              <w:left w:val="single" w:sz="2" w:space="0" w:color="BFC9C0"/>
              <w:bottom w:val="single" w:sz="2" w:space="0" w:color="BFC9C0"/>
              <w:right w:val="single" w:sz="2" w:space="0" w:color="BFC9C0"/>
            </w:tcBorders>
            <w:shd w:val="clear" w:color="auto" w:fill="FFFFFF"/>
          </w:tcPr>
          <w:p w14:paraId="52617FD4" w14:textId="77777777" w:rsidR="00CD5946" w:rsidRDefault="00000000">
            <w:pPr>
              <w:spacing w:line="276" w:lineRule="auto"/>
            </w:pPr>
            <w:r>
              <w:rPr>
                <w:color w:val="1A1A1A"/>
                <w:sz w:val="18"/>
                <w:szCs w:val="18"/>
              </w:rPr>
              <w:t>Traditional Biological Medicinal Products</w:t>
            </w:r>
          </w:p>
        </w:tc>
        <w:tc>
          <w:tcPr>
            <w:tcW w:w="3660" w:type="dxa"/>
            <w:tcBorders>
              <w:top w:val="single" w:sz="2" w:space="0" w:color="BFC9C0"/>
              <w:left w:val="single" w:sz="2" w:space="0" w:color="BFC9C0"/>
              <w:bottom w:val="single" w:sz="2" w:space="0" w:color="BFC9C0"/>
              <w:right w:val="single" w:sz="2" w:space="0" w:color="BFC9C0"/>
            </w:tcBorders>
            <w:shd w:val="clear" w:color="auto" w:fill="FFFFFF"/>
          </w:tcPr>
          <w:p w14:paraId="0171D411" w14:textId="77777777" w:rsidR="00CD5946" w:rsidRDefault="00000000">
            <w:pPr>
              <w:spacing w:line="276" w:lineRule="auto"/>
            </w:pPr>
            <w:r>
              <w:rPr>
                <w:color w:val="1A1A1A"/>
                <w:sz w:val="18"/>
                <w:szCs w:val="18"/>
              </w:rPr>
              <w:t>Supplements Annex 2B (classical products) · WHO TRS</w:t>
            </w:r>
          </w:p>
        </w:tc>
      </w:tr>
      <w:tr w:rsidR="00CD5946" w14:paraId="742D4131" w14:textId="77777777">
        <w:tc>
          <w:tcPr>
            <w:tcW w:w="1096" w:type="dxa"/>
            <w:tcBorders>
              <w:top w:val="single" w:sz="2" w:space="0" w:color="BFC9C0"/>
              <w:left w:val="single" w:sz="2" w:space="0" w:color="BFC9C0"/>
              <w:bottom w:val="single" w:sz="2" w:space="0" w:color="BFC9C0"/>
              <w:right w:val="single" w:sz="2" w:space="0" w:color="BFC9C0"/>
            </w:tcBorders>
            <w:shd w:val="clear" w:color="auto" w:fill="EEF3F1"/>
          </w:tcPr>
          <w:p w14:paraId="0A7FF442" w14:textId="77777777" w:rsidR="00CD5946" w:rsidRDefault="00000000">
            <w:pPr>
              <w:spacing w:line="276" w:lineRule="auto"/>
            </w:pPr>
            <w:r>
              <w:rPr>
                <w:color w:val="1A1A1A"/>
                <w:sz w:val="18"/>
                <w:szCs w:val="18"/>
              </w:rPr>
              <w:t>A</w:t>
              <w:noBreakHyphen/>
              <w:t>BIO</w:t>
            </w:r>
          </w:p>
        </w:tc>
        <w:tc>
          <w:tcPr>
            <w:tcW w:w="4604" w:type="dxa"/>
            <w:tcBorders>
              <w:top w:val="single" w:sz="2" w:space="0" w:color="BFC9C0"/>
              <w:left w:val="single" w:sz="2" w:space="0" w:color="BFC9C0"/>
              <w:bottom w:val="single" w:sz="2" w:space="0" w:color="BFC9C0"/>
              <w:right w:val="single" w:sz="2" w:space="0" w:color="BFC9C0"/>
            </w:tcBorders>
            <w:shd w:val="clear" w:color="auto" w:fill="EEF3F1"/>
          </w:tcPr>
          <w:p w14:paraId="69CA49A6" w14:textId="77777777" w:rsidR="00CD5946" w:rsidRDefault="00000000">
            <w:pPr>
              <w:spacing w:line="276" w:lineRule="auto"/>
            </w:pPr>
            <w:r>
              <w:rPr>
                <w:color w:val="1A1A1A"/>
                <w:sz w:val="18"/>
                <w:szCs w:val="18"/>
              </w:rPr>
              <w:t>Arab Annex — Biotechnology Products &amp; Biosimilars (similar biotherapeutic products): GMP, quality comparability and lifecycle for biosimilar development and manufacture</w:t>
            </w:r>
          </w:p>
        </w:tc>
        <w:tc>
          <w:tcPr>
            <w:tcW w:w="3660" w:type="dxa"/>
            <w:tcBorders>
              <w:top w:val="single" w:sz="2" w:space="0" w:color="BFC9C0"/>
              <w:left w:val="single" w:sz="2" w:space="0" w:color="BFC9C0"/>
              <w:bottom w:val="single" w:sz="2" w:space="0" w:color="BFC9C0"/>
              <w:right w:val="single" w:sz="2" w:space="0" w:color="BFC9C0"/>
            </w:tcBorders>
            <w:shd w:val="clear" w:color="auto" w:fill="EEF3F1"/>
          </w:tcPr>
          <w:p w14:paraId="10785A4F" w14:textId="77777777" w:rsidR="00CD5946" w:rsidRDefault="00000000">
            <w:pPr>
              <w:spacing w:line="276" w:lineRule="auto"/>
            </w:pPr>
            <w:r>
              <w:rPr>
                <w:color w:val="1A1A1A"/>
                <w:sz w:val="18"/>
                <w:szCs w:val="18"/>
              </w:rPr>
              <w:t>ICH Q5A(R2)/Q5E/Q6B/Q11 · WHO Guidelines on biosimilars (TRS 1043 An.3; TRS 977 An.2) · EMA biosimilar guidelines · US FDA BPCIA 351(k)</w:t>
            </w:r>
          </w:p>
        </w:tc>
      </w:tr>
      <w:tr w:rsidR="00CD5946" w14:paraId="2AF7520D" w14:textId="77777777">
        <w:tc>
          <w:tcPr>
            <w:tcW w:w="1096" w:type="dxa"/>
            <w:tcBorders>
              <w:top w:val="single" w:sz="2" w:space="0" w:color="BFC9C0"/>
              <w:left w:val="single" w:sz="2" w:space="0" w:color="BFC9C0"/>
              <w:bottom w:val="single" w:sz="2" w:space="0" w:color="BFC9C0"/>
              <w:right w:val="single" w:sz="2" w:space="0" w:color="BFC9C0"/>
            </w:tcBorders>
            <w:shd w:val="clear" w:color="auto" w:fill="FFFFFF"/>
          </w:tcPr>
          <w:p w14:paraId="072AF35C" w14:textId="77777777" w:rsidR="00CD5946" w:rsidRDefault="00000000">
            <w:pPr>
              <w:spacing w:line="276" w:lineRule="auto"/>
            </w:pPr>
            <w:r>
              <w:rPr>
                <w:color w:val="1A1A1A"/>
                <w:sz w:val="18"/>
                <w:szCs w:val="18"/>
              </w:rPr>
              <w:t>3</w:t>
            </w:r>
          </w:p>
        </w:tc>
        <w:tc>
          <w:tcPr>
            <w:tcW w:w="4604" w:type="dxa"/>
            <w:tcBorders>
              <w:top w:val="single" w:sz="2" w:space="0" w:color="BFC9C0"/>
              <w:left w:val="single" w:sz="2" w:space="0" w:color="BFC9C0"/>
              <w:bottom w:val="single" w:sz="2" w:space="0" w:color="BFC9C0"/>
              <w:right w:val="single" w:sz="2" w:space="0" w:color="BFC9C0"/>
            </w:tcBorders>
            <w:shd w:val="clear" w:color="auto" w:fill="FFFFFF"/>
          </w:tcPr>
          <w:p w14:paraId="15C6BBF5" w14:textId="77777777" w:rsidR="00CD5946" w:rsidRDefault="00000000">
            <w:pPr>
              <w:spacing w:line="276" w:lineRule="auto"/>
            </w:pPr>
            <w:r>
              <w:rPr>
                <w:color w:val="1A1A1A"/>
                <w:sz w:val="18"/>
                <w:szCs w:val="18"/>
              </w:rPr>
              <w:t>Manufacture of Radiopharmaceuticals</w:t>
            </w:r>
          </w:p>
        </w:tc>
        <w:tc>
          <w:tcPr>
            <w:tcW w:w="3660" w:type="dxa"/>
            <w:tcBorders>
              <w:top w:val="single" w:sz="2" w:space="0" w:color="BFC9C0"/>
              <w:left w:val="single" w:sz="2" w:space="0" w:color="BFC9C0"/>
              <w:bottom w:val="single" w:sz="2" w:space="0" w:color="BFC9C0"/>
              <w:right w:val="single" w:sz="2" w:space="0" w:color="BFC9C0"/>
            </w:tcBorders>
            <w:shd w:val="clear" w:color="auto" w:fill="FFFFFF"/>
          </w:tcPr>
          <w:p w14:paraId="04256DF0" w14:textId="77777777" w:rsidR="00CD5946" w:rsidRDefault="00000000">
            <w:pPr>
              <w:spacing w:line="276" w:lineRule="auto"/>
            </w:pPr>
            <w:r>
              <w:rPr>
                <w:color w:val="1A1A1A"/>
                <w:sz w:val="18"/>
                <w:szCs w:val="18"/>
              </w:rPr>
              <w:t>EU GMP Annex 3 · WHO TRS</w:t>
            </w:r>
          </w:p>
        </w:tc>
      </w:tr>
      <w:tr w:rsidR="00CD5946" w14:paraId="63505934" w14:textId="77777777">
        <w:tc>
          <w:tcPr>
            <w:tcW w:w="1096" w:type="dxa"/>
            <w:tcBorders>
              <w:top w:val="single" w:sz="2" w:space="0" w:color="BFC9C0"/>
              <w:left w:val="single" w:sz="2" w:space="0" w:color="BFC9C0"/>
              <w:bottom w:val="single" w:sz="2" w:space="0" w:color="BFC9C0"/>
              <w:right w:val="single" w:sz="2" w:space="0" w:color="BFC9C0"/>
            </w:tcBorders>
            <w:shd w:val="clear" w:color="auto" w:fill="EEF3F1"/>
          </w:tcPr>
          <w:p w14:paraId="6D138999" w14:textId="77777777" w:rsidR="00CD5946" w:rsidRDefault="00000000">
            <w:pPr>
              <w:spacing w:line="276" w:lineRule="auto"/>
            </w:pPr>
            <w:r>
              <w:rPr>
                <w:color w:val="1A1A1A"/>
                <w:sz w:val="18"/>
                <w:szCs w:val="18"/>
              </w:rPr>
              <w:t>6</w:t>
            </w:r>
          </w:p>
        </w:tc>
        <w:tc>
          <w:tcPr>
            <w:tcW w:w="4604" w:type="dxa"/>
            <w:tcBorders>
              <w:top w:val="single" w:sz="2" w:space="0" w:color="BFC9C0"/>
              <w:left w:val="single" w:sz="2" w:space="0" w:color="BFC9C0"/>
              <w:bottom w:val="single" w:sz="2" w:space="0" w:color="BFC9C0"/>
              <w:right w:val="single" w:sz="2" w:space="0" w:color="BFC9C0"/>
            </w:tcBorders>
            <w:shd w:val="clear" w:color="auto" w:fill="EEF3F1"/>
          </w:tcPr>
          <w:p w14:paraId="21929A5C" w14:textId="77777777" w:rsidR="00CD5946" w:rsidRDefault="00000000">
            <w:pPr>
              <w:spacing w:line="276" w:lineRule="auto"/>
            </w:pPr>
            <w:r>
              <w:rPr>
                <w:color w:val="1A1A1A"/>
                <w:sz w:val="18"/>
                <w:szCs w:val="18"/>
              </w:rPr>
              <w:t>Manufacture of Medicinal Gases</w:t>
            </w:r>
          </w:p>
        </w:tc>
        <w:tc>
          <w:tcPr>
            <w:tcW w:w="3660" w:type="dxa"/>
            <w:tcBorders>
              <w:top w:val="single" w:sz="2" w:space="0" w:color="BFC9C0"/>
              <w:left w:val="single" w:sz="2" w:space="0" w:color="BFC9C0"/>
              <w:bottom w:val="single" w:sz="2" w:space="0" w:color="BFC9C0"/>
              <w:right w:val="single" w:sz="2" w:space="0" w:color="BFC9C0"/>
            </w:tcBorders>
            <w:shd w:val="clear" w:color="auto" w:fill="EEF3F1"/>
          </w:tcPr>
          <w:p w14:paraId="103884EE" w14:textId="77777777" w:rsidR="00CD5946" w:rsidRDefault="00000000">
            <w:pPr>
              <w:spacing w:line="276" w:lineRule="auto"/>
            </w:pPr>
            <w:r>
              <w:rPr>
                <w:color w:val="1A1A1A"/>
                <w:sz w:val="18"/>
                <w:szCs w:val="18"/>
              </w:rPr>
              <w:t>EU GMP Annex 6</w:t>
            </w:r>
          </w:p>
        </w:tc>
      </w:tr>
      <w:tr w:rsidR="00CD5946" w14:paraId="3ED05E6E" w14:textId="77777777">
        <w:tc>
          <w:tcPr>
            <w:tcW w:w="1096" w:type="dxa"/>
            <w:tcBorders>
              <w:top w:val="single" w:sz="2" w:space="0" w:color="BFC9C0"/>
              <w:left w:val="single" w:sz="2" w:space="0" w:color="BFC9C0"/>
              <w:bottom w:val="single" w:sz="2" w:space="0" w:color="BFC9C0"/>
              <w:right w:val="single" w:sz="2" w:space="0" w:color="BFC9C0"/>
            </w:tcBorders>
            <w:shd w:val="clear" w:color="auto" w:fill="FFFFFF"/>
          </w:tcPr>
          <w:p w14:paraId="1C7B0951" w14:textId="77777777" w:rsidR="00CD5946" w:rsidRDefault="00000000">
            <w:pPr>
              <w:spacing w:line="276" w:lineRule="auto"/>
            </w:pPr>
            <w:r>
              <w:rPr>
                <w:color w:val="1A1A1A"/>
                <w:sz w:val="18"/>
                <w:szCs w:val="18"/>
              </w:rPr>
              <w:t>7</w:t>
            </w:r>
          </w:p>
        </w:tc>
        <w:tc>
          <w:tcPr>
            <w:tcW w:w="4604" w:type="dxa"/>
            <w:tcBorders>
              <w:top w:val="single" w:sz="2" w:space="0" w:color="BFC9C0"/>
              <w:left w:val="single" w:sz="2" w:space="0" w:color="BFC9C0"/>
              <w:bottom w:val="single" w:sz="2" w:space="0" w:color="BFC9C0"/>
              <w:right w:val="single" w:sz="2" w:space="0" w:color="BFC9C0"/>
            </w:tcBorders>
            <w:shd w:val="clear" w:color="auto" w:fill="FFFFFF"/>
          </w:tcPr>
          <w:p w14:paraId="372131B5" w14:textId="77777777" w:rsidR="00CD5946" w:rsidRDefault="00000000">
            <w:pPr>
              <w:spacing w:line="276" w:lineRule="auto"/>
            </w:pPr>
            <w:r>
              <w:rPr>
                <w:color w:val="1A1A1A"/>
                <w:sz w:val="18"/>
                <w:szCs w:val="18"/>
              </w:rPr>
              <w:t>Manufacture of Herbal Medicinal Products</w:t>
            </w:r>
          </w:p>
        </w:tc>
        <w:tc>
          <w:tcPr>
            <w:tcW w:w="3660" w:type="dxa"/>
            <w:tcBorders>
              <w:top w:val="single" w:sz="2" w:space="0" w:color="BFC9C0"/>
              <w:left w:val="single" w:sz="2" w:space="0" w:color="BFC9C0"/>
              <w:bottom w:val="single" w:sz="2" w:space="0" w:color="BFC9C0"/>
              <w:right w:val="single" w:sz="2" w:space="0" w:color="BFC9C0"/>
            </w:tcBorders>
            <w:shd w:val="clear" w:color="auto" w:fill="FFFFFF"/>
          </w:tcPr>
          <w:p w14:paraId="0F7CB8F6" w14:textId="77777777" w:rsidR="00CD5946" w:rsidRDefault="00000000">
            <w:pPr>
              <w:spacing w:line="276" w:lineRule="auto"/>
            </w:pPr>
            <w:r>
              <w:rPr>
                <w:color w:val="1A1A1A"/>
                <w:sz w:val="18"/>
                <w:szCs w:val="18"/>
              </w:rPr>
              <w:t>EU GMP Annex 7 · WHO</w:t>
            </w:r>
          </w:p>
        </w:tc>
      </w:tr>
      <w:tr w:rsidR="00CD5946" w14:paraId="7053DEC0" w14:textId="77777777">
        <w:tc>
          <w:tcPr>
            <w:tcW w:w="1096" w:type="dxa"/>
            <w:tcBorders>
              <w:top w:val="single" w:sz="2" w:space="0" w:color="BFC9C0"/>
              <w:left w:val="single" w:sz="2" w:space="0" w:color="BFC9C0"/>
              <w:bottom w:val="single" w:sz="2" w:space="0" w:color="BFC9C0"/>
              <w:right w:val="single" w:sz="2" w:space="0" w:color="BFC9C0"/>
            </w:tcBorders>
            <w:shd w:val="clear" w:color="auto" w:fill="EEF3F1"/>
          </w:tcPr>
          <w:p w14:paraId="5AC36A1E" w14:textId="77777777" w:rsidR="00CD5946" w:rsidRDefault="00000000">
            <w:pPr>
              <w:spacing w:line="276" w:lineRule="auto"/>
            </w:pPr>
            <w:r>
              <w:rPr>
                <w:color w:val="1A1A1A"/>
                <w:sz w:val="18"/>
                <w:szCs w:val="18"/>
              </w:rPr>
              <w:t>8</w:t>
            </w:r>
          </w:p>
        </w:tc>
        <w:tc>
          <w:tcPr>
            <w:tcW w:w="4604" w:type="dxa"/>
            <w:tcBorders>
              <w:top w:val="single" w:sz="2" w:space="0" w:color="BFC9C0"/>
              <w:left w:val="single" w:sz="2" w:space="0" w:color="BFC9C0"/>
              <w:bottom w:val="single" w:sz="2" w:space="0" w:color="BFC9C0"/>
              <w:right w:val="single" w:sz="2" w:space="0" w:color="BFC9C0"/>
            </w:tcBorders>
            <w:shd w:val="clear" w:color="auto" w:fill="EEF3F1"/>
          </w:tcPr>
          <w:p w14:paraId="15CAD7AB" w14:textId="77777777" w:rsidR="00CD5946" w:rsidRDefault="00000000">
            <w:pPr>
              <w:spacing w:line="276" w:lineRule="auto"/>
            </w:pPr>
            <w:r>
              <w:rPr>
                <w:color w:val="1A1A1A"/>
                <w:sz w:val="18"/>
                <w:szCs w:val="18"/>
              </w:rPr>
              <w:t>Sampling of Starting and Packaging Materials</w:t>
            </w:r>
          </w:p>
        </w:tc>
        <w:tc>
          <w:tcPr>
            <w:tcW w:w="3660" w:type="dxa"/>
            <w:tcBorders>
              <w:top w:val="single" w:sz="2" w:space="0" w:color="BFC9C0"/>
              <w:left w:val="single" w:sz="2" w:space="0" w:color="BFC9C0"/>
              <w:bottom w:val="single" w:sz="2" w:space="0" w:color="BFC9C0"/>
              <w:right w:val="single" w:sz="2" w:space="0" w:color="BFC9C0"/>
            </w:tcBorders>
            <w:shd w:val="clear" w:color="auto" w:fill="EEF3F1"/>
          </w:tcPr>
          <w:p w14:paraId="21C07BA3" w14:textId="77777777" w:rsidR="00CD5946" w:rsidRDefault="00000000">
            <w:pPr>
              <w:spacing w:line="276" w:lineRule="auto"/>
            </w:pPr>
            <w:r>
              <w:rPr>
                <w:color w:val="1A1A1A"/>
                <w:sz w:val="18"/>
                <w:szCs w:val="18"/>
              </w:rPr>
              <w:t>EU GMP Annex 8</w:t>
            </w:r>
          </w:p>
        </w:tc>
      </w:tr>
      <w:tr w:rsidR="00CD5946" w14:paraId="16809843" w14:textId="77777777">
        <w:tc>
          <w:tcPr>
            <w:tcW w:w="1096" w:type="dxa"/>
            <w:tcBorders>
              <w:top w:val="single" w:sz="2" w:space="0" w:color="BFC9C0"/>
              <w:left w:val="single" w:sz="2" w:space="0" w:color="BFC9C0"/>
              <w:bottom w:val="single" w:sz="2" w:space="0" w:color="BFC9C0"/>
              <w:right w:val="single" w:sz="2" w:space="0" w:color="BFC9C0"/>
            </w:tcBorders>
            <w:shd w:val="clear" w:color="auto" w:fill="FFFFFF"/>
          </w:tcPr>
          <w:p w14:paraId="5C9550FA" w14:textId="77777777" w:rsidR="00CD5946" w:rsidRDefault="00000000">
            <w:pPr>
              <w:spacing w:line="276" w:lineRule="auto"/>
            </w:pPr>
            <w:r>
              <w:rPr>
                <w:color w:val="1A1A1A"/>
                <w:sz w:val="18"/>
                <w:szCs w:val="18"/>
              </w:rPr>
              <w:t>11</w:t>
            </w:r>
          </w:p>
        </w:tc>
        <w:tc>
          <w:tcPr>
            <w:tcW w:w="4604" w:type="dxa"/>
            <w:tcBorders>
              <w:top w:val="single" w:sz="2" w:space="0" w:color="BFC9C0"/>
              <w:left w:val="single" w:sz="2" w:space="0" w:color="BFC9C0"/>
              <w:bottom w:val="single" w:sz="2" w:space="0" w:color="BFC9C0"/>
              <w:right w:val="single" w:sz="2" w:space="0" w:color="BFC9C0"/>
            </w:tcBorders>
            <w:shd w:val="clear" w:color="auto" w:fill="FFFFFF"/>
          </w:tcPr>
          <w:p w14:paraId="67506FF1" w14:textId="77777777" w:rsidR="00CD5946" w:rsidRDefault="00000000">
            <w:pPr>
              <w:spacing w:line="276" w:lineRule="auto"/>
            </w:pPr>
            <w:r>
              <w:rPr>
                <w:color w:val="1A1A1A"/>
                <w:sz w:val="18"/>
                <w:szCs w:val="18"/>
              </w:rPr>
              <w:t>Computerised Systems (with data integrity)</w:t>
            </w:r>
          </w:p>
        </w:tc>
        <w:tc>
          <w:tcPr>
            <w:tcW w:w="3660" w:type="dxa"/>
            <w:tcBorders>
              <w:top w:val="single" w:sz="2" w:space="0" w:color="BFC9C0"/>
              <w:left w:val="single" w:sz="2" w:space="0" w:color="BFC9C0"/>
              <w:bottom w:val="single" w:sz="2" w:space="0" w:color="BFC9C0"/>
              <w:right w:val="single" w:sz="2" w:space="0" w:color="BFC9C0"/>
            </w:tcBorders>
            <w:shd w:val="clear" w:color="auto" w:fill="FFFFFF"/>
          </w:tcPr>
          <w:p w14:paraId="13E36AB0" w14:textId="77777777" w:rsidR="00CD5946" w:rsidRDefault="00000000">
            <w:pPr>
              <w:spacing w:line="276" w:lineRule="auto"/>
            </w:pPr>
            <w:r>
              <w:rPr>
                <w:color w:val="1A1A1A"/>
                <w:sz w:val="18"/>
                <w:szCs w:val="18"/>
              </w:rPr>
              <w:t>EU GMP Annex 11 · PIC/S PI 041-1 · GAMP 5 · 21 CFR Part 11</w:t>
            </w:r>
          </w:p>
        </w:tc>
      </w:tr>
      <w:tr w:rsidR="00CD5946" w14:paraId="098BE843" w14:textId="77777777">
        <w:tc>
          <w:tcPr>
            <w:tcW w:w="1096" w:type="dxa"/>
            <w:tcBorders>
              <w:top w:val="single" w:sz="2" w:space="0" w:color="BFC9C0"/>
              <w:left w:val="single" w:sz="2" w:space="0" w:color="BFC9C0"/>
              <w:bottom w:val="single" w:sz="2" w:space="0" w:color="BFC9C0"/>
              <w:right w:val="single" w:sz="2" w:space="0" w:color="BFC9C0"/>
            </w:tcBorders>
            <w:shd w:val="clear" w:color="auto" w:fill="EEF3F1"/>
          </w:tcPr>
          <w:p w14:paraId="5E5E1044" w14:textId="77777777" w:rsidR="00CD5946" w:rsidRDefault="00000000">
            <w:pPr>
              <w:spacing w:line="276" w:lineRule="auto"/>
            </w:pPr>
            <w:r>
              <w:rPr>
                <w:color w:val="1A1A1A"/>
                <w:sz w:val="18"/>
                <w:szCs w:val="18"/>
              </w:rPr>
              <w:t>13</w:t>
            </w:r>
          </w:p>
        </w:tc>
        <w:tc>
          <w:tcPr>
            <w:tcW w:w="4604" w:type="dxa"/>
            <w:tcBorders>
              <w:top w:val="single" w:sz="2" w:space="0" w:color="BFC9C0"/>
              <w:left w:val="single" w:sz="2" w:space="0" w:color="BFC9C0"/>
              <w:bottom w:val="single" w:sz="2" w:space="0" w:color="BFC9C0"/>
              <w:right w:val="single" w:sz="2" w:space="0" w:color="BFC9C0"/>
            </w:tcBorders>
            <w:shd w:val="clear" w:color="auto" w:fill="EEF3F1"/>
          </w:tcPr>
          <w:p w14:paraId="59A2D6F2" w14:textId="77777777" w:rsidR="00CD5946" w:rsidRDefault="00000000">
            <w:pPr>
              <w:spacing w:line="276" w:lineRule="auto"/>
            </w:pPr>
            <w:r>
              <w:rPr>
                <w:color w:val="1A1A1A"/>
                <w:sz w:val="18"/>
                <w:szCs w:val="18"/>
              </w:rPr>
              <w:t>Manufacture of Investigational Medicinal Products</w:t>
            </w:r>
          </w:p>
        </w:tc>
        <w:tc>
          <w:tcPr>
            <w:tcW w:w="3660" w:type="dxa"/>
            <w:tcBorders>
              <w:top w:val="single" w:sz="2" w:space="0" w:color="BFC9C0"/>
              <w:left w:val="single" w:sz="2" w:space="0" w:color="BFC9C0"/>
              <w:bottom w:val="single" w:sz="2" w:space="0" w:color="BFC9C0"/>
              <w:right w:val="single" w:sz="2" w:space="0" w:color="BFC9C0"/>
            </w:tcBorders>
            <w:shd w:val="clear" w:color="auto" w:fill="EEF3F1"/>
          </w:tcPr>
          <w:p w14:paraId="571CDE60" w14:textId="77777777" w:rsidR="00CD5946" w:rsidRDefault="00000000">
            <w:pPr>
              <w:spacing w:line="276" w:lineRule="auto"/>
            </w:pPr>
            <w:r>
              <w:rPr>
                <w:color w:val="1A1A1A"/>
                <w:sz w:val="18"/>
                <w:szCs w:val="18"/>
              </w:rPr>
              <w:t>PIC/S PE 009-17 Annex 13 · EU CTR GMP framework (Reg. (EU) 2017/1569; C(2017) 8179) · ICH E6(R3)</w:t>
            </w:r>
          </w:p>
        </w:tc>
      </w:tr>
      <w:tr w:rsidR="00CD5946" w14:paraId="789E4867" w14:textId="77777777">
        <w:tc>
          <w:tcPr>
            <w:tcW w:w="1096" w:type="dxa"/>
            <w:tcBorders>
              <w:top w:val="single" w:sz="2" w:space="0" w:color="BFC9C0"/>
              <w:left w:val="single" w:sz="2" w:space="0" w:color="BFC9C0"/>
              <w:bottom w:val="single" w:sz="2" w:space="0" w:color="BFC9C0"/>
              <w:right w:val="single" w:sz="2" w:space="0" w:color="BFC9C0"/>
            </w:tcBorders>
            <w:shd w:val="clear" w:color="auto" w:fill="FFFFFF"/>
          </w:tcPr>
          <w:p w14:paraId="575A0E95" w14:textId="77777777" w:rsidR="00CD5946" w:rsidRDefault="00000000">
            <w:pPr>
              <w:spacing w:line="276" w:lineRule="auto"/>
            </w:pPr>
            <w:r>
              <w:rPr>
                <w:color w:val="1A1A1A"/>
                <w:sz w:val="18"/>
                <w:szCs w:val="18"/>
              </w:rPr>
              <w:t>15</w:t>
            </w:r>
          </w:p>
        </w:tc>
        <w:tc>
          <w:tcPr>
            <w:tcW w:w="4604" w:type="dxa"/>
            <w:tcBorders>
              <w:top w:val="single" w:sz="2" w:space="0" w:color="BFC9C0"/>
              <w:left w:val="single" w:sz="2" w:space="0" w:color="BFC9C0"/>
              <w:bottom w:val="single" w:sz="2" w:space="0" w:color="BFC9C0"/>
              <w:right w:val="single" w:sz="2" w:space="0" w:color="BFC9C0"/>
            </w:tcBorders>
            <w:shd w:val="clear" w:color="auto" w:fill="FFFFFF"/>
          </w:tcPr>
          <w:p w14:paraId="34EE4578" w14:textId="77777777" w:rsidR="00CD5946" w:rsidRDefault="00000000">
            <w:pPr>
              <w:spacing w:line="276" w:lineRule="auto"/>
            </w:pPr>
            <w:r>
              <w:rPr>
                <w:color w:val="1A1A1A"/>
                <w:sz w:val="18"/>
                <w:szCs w:val="18"/>
              </w:rPr>
              <w:t>Qualification and Validation</w:t>
            </w:r>
          </w:p>
        </w:tc>
        <w:tc>
          <w:tcPr>
            <w:tcW w:w="3660" w:type="dxa"/>
            <w:tcBorders>
              <w:top w:val="single" w:sz="2" w:space="0" w:color="BFC9C0"/>
              <w:left w:val="single" w:sz="2" w:space="0" w:color="BFC9C0"/>
              <w:bottom w:val="single" w:sz="2" w:space="0" w:color="BFC9C0"/>
              <w:right w:val="single" w:sz="2" w:space="0" w:color="BFC9C0"/>
            </w:tcBorders>
            <w:shd w:val="clear" w:color="auto" w:fill="FFFFFF"/>
          </w:tcPr>
          <w:p w14:paraId="33EBD02E" w14:textId="77777777" w:rsidR="00CD5946" w:rsidRDefault="00000000">
            <w:pPr>
              <w:spacing w:line="276" w:lineRule="auto"/>
            </w:pPr>
            <w:r>
              <w:rPr>
                <w:color w:val="1A1A1A"/>
                <w:sz w:val="18"/>
                <w:szCs w:val="18"/>
              </w:rPr>
              <w:t>EU GMP Annex 15 (2015) · FDA PV (2011) · WHO TRS 1019 Annex 3</w:t>
            </w:r>
          </w:p>
        </w:tc>
      </w:tr>
      <w:tr w:rsidR="00CD5946" w14:paraId="7BCB0E7F" w14:textId="77777777">
        <w:tc>
          <w:tcPr>
            <w:tcW w:w="1096" w:type="dxa"/>
            <w:tcBorders>
              <w:top w:val="single" w:sz="2" w:space="0" w:color="BFC9C0"/>
              <w:left w:val="single" w:sz="2" w:space="0" w:color="BFC9C0"/>
              <w:bottom w:val="single" w:sz="2" w:space="0" w:color="BFC9C0"/>
              <w:right w:val="single" w:sz="2" w:space="0" w:color="BFC9C0"/>
            </w:tcBorders>
            <w:shd w:val="clear" w:color="auto" w:fill="EEF3F1"/>
          </w:tcPr>
          <w:p w14:paraId="6B4C937F" w14:textId="77777777" w:rsidR="00CD5946" w:rsidRDefault="00000000">
            <w:pPr>
              <w:spacing w:line="276" w:lineRule="auto"/>
            </w:pPr>
            <w:r>
              <w:rPr>
                <w:color w:val="1A1A1A"/>
                <w:sz w:val="18"/>
                <w:szCs w:val="18"/>
              </w:rPr>
              <w:t>16</w:t>
            </w:r>
          </w:p>
        </w:tc>
        <w:tc>
          <w:tcPr>
            <w:tcW w:w="4604" w:type="dxa"/>
            <w:tcBorders>
              <w:top w:val="single" w:sz="2" w:space="0" w:color="BFC9C0"/>
              <w:left w:val="single" w:sz="2" w:space="0" w:color="BFC9C0"/>
              <w:bottom w:val="single" w:sz="2" w:space="0" w:color="BFC9C0"/>
              <w:right w:val="single" w:sz="2" w:space="0" w:color="BFC9C0"/>
            </w:tcBorders>
            <w:shd w:val="clear" w:color="auto" w:fill="EEF3F1"/>
          </w:tcPr>
          <w:p w14:paraId="73C3678B" w14:textId="77777777" w:rsidR="00CD5946" w:rsidRDefault="00000000">
            <w:pPr>
              <w:spacing w:line="276" w:lineRule="auto"/>
            </w:pPr>
            <w:r>
              <w:rPr>
                <w:color w:val="1A1A1A"/>
                <w:sz w:val="18"/>
                <w:szCs w:val="18"/>
              </w:rPr>
              <w:t>Certification by the Authorised/Qualified Person and Batch Release</w:t>
            </w:r>
          </w:p>
        </w:tc>
        <w:tc>
          <w:tcPr>
            <w:tcW w:w="3660" w:type="dxa"/>
            <w:tcBorders>
              <w:top w:val="single" w:sz="2" w:space="0" w:color="BFC9C0"/>
              <w:left w:val="single" w:sz="2" w:space="0" w:color="BFC9C0"/>
              <w:bottom w:val="single" w:sz="2" w:space="0" w:color="BFC9C0"/>
              <w:right w:val="single" w:sz="2" w:space="0" w:color="BFC9C0"/>
            </w:tcBorders>
            <w:shd w:val="clear" w:color="auto" w:fill="EEF3F1"/>
          </w:tcPr>
          <w:p w14:paraId="2A683BCE" w14:textId="77777777" w:rsidR="00CD5946" w:rsidRDefault="00000000">
            <w:pPr>
              <w:spacing w:line="276" w:lineRule="auto"/>
            </w:pPr>
            <w:r>
              <w:rPr>
                <w:color w:val="1A1A1A"/>
                <w:sz w:val="18"/>
                <w:szCs w:val="18"/>
              </w:rPr>
              <w:t>EU GMP Annex 16</w:t>
            </w:r>
          </w:p>
        </w:tc>
      </w:tr>
      <w:tr w:rsidR="00CD5946" w14:paraId="1BB875BD" w14:textId="77777777">
        <w:tc>
          <w:tcPr>
            <w:tcW w:w="1096" w:type="dxa"/>
            <w:tcBorders>
              <w:top w:val="single" w:sz="2" w:space="0" w:color="BFC9C0"/>
              <w:left w:val="single" w:sz="2" w:space="0" w:color="BFC9C0"/>
              <w:bottom w:val="single" w:sz="2" w:space="0" w:color="BFC9C0"/>
              <w:right w:val="single" w:sz="2" w:space="0" w:color="BFC9C0"/>
            </w:tcBorders>
            <w:shd w:val="clear" w:color="auto" w:fill="FFFFFF"/>
          </w:tcPr>
          <w:p w14:paraId="37F814F9" w14:textId="77777777" w:rsidR="00CD5946" w:rsidRDefault="00000000">
            <w:pPr>
              <w:spacing w:line="276" w:lineRule="auto"/>
            </w:pPr>
            <w:r>
              <w:rPr>
                <w:color w:val="1A1A1A"/>
                <w:sz w:val="18"/>
                <w:szCs w:val="18"/>
              </w:rPr>
              <w:t>17</w:t>
            </w:r>
          </w:p>
        </w:tc>
        <w:tc>
          <w:tcPr>
            <w:tcW w:w="4604" w:type="dxa"/>
            <w:tcBorders>
              <w:top w:val="single" w:sz="2" w:space="0" w:color="BFC9C0"/>
              <w:left w:val="single" w:sz="2" w:space="0" w:color="BFC9C0"/>
              <w:bottom w:val="single" w:sz="2" w:space="0" w:color="BFC9C0"/>
              <w:right w:val="single" w:sz="2" w:space="0" w:color="BFC9C0"/>
            </w:tcBorders>
            <w:shd w:val="clear" w:color="auto" w:fill="FFFFFF"/>
          </w:tcPr>
          <w:p w14:paraId="43497198" w14:textId="77777777" w:rsidR="00CD5946" w:rsidRDefault="00000000">
            <w:pPr>
              <w:spacing w:line="276" w:lineRule="auto"/>
            </w:pPr>
            <w:r>
              <w:rPr>
                <w:color w:val="1A1A1A"/>
                <w:sz w:val="18"/>
                <w:szCs w:val="18"/>
              </w:rPr>
              <w:t>Real-Time Release Testing and Parametric Release</w:t>
            </w:r>
          </w:p>
        </w:tc>
        <w:tc>
          <w:tcPr>
            <w:tcW w:w="3660" w:type="dxa"/>
            <w:tcBorders>
              <w:top w:val="single" w:sz="2" w:space="0" w:color="BFC9C0"/>
              <w:left w:val="single" w:sz="2" w:space="0" w:color="BFC9C0"/>
              <w:bottom w:val="single" w:sz="2" w:space="0" w:color="BFC9C0"/>
              <w:right w:val="single" w:sz="2" w:space="0" w:color="BFC9C0"/>
            </w:tcBorders>
            <w:shd w:val="clear" w:color="auto" w:fill="FFFFFF"/>
          </w:tcPr>
          <w:p w14:paraId="7397A597" w14:textId="77777777" w:rsidR="00CD5946" w:rsidRDefault="00000000">
            <w:pPr>
              <w:spacing w:line="276" w:lineRule="auto"/>
            </w:pPr>
            <w:r>
              <w:rPr>
                <w:color w:val="1A1A1A"/>
                <w:sz w:val="18"/>
                <w:szCs w:val="18"/>
              </w:rPr>
              <w:t>EU GMP Annex 17 (2018)</w:t>
            </w:r>
          </w:p>
        </w:tc>
      </w:tr>
      <w:tr w:rsidR="00CD5946" w14:paraId="6FF5E4AA" w14:textId="77777777">
        <w:tc>
          <w:tcPr>
            <w:tcW w:w="1096" w:type="dxa"/>
            <w:tcBorders>
              <w:top w:val="single" w:sz="2" w:space="0" w:color="BFC9C0"/>
              <w:left w:val="single" w:sz="2" w:space="0" w:color="BFC9C0"/>
              <w:bottom w:val="single" w:sz="2" w:space="0" w:color="BFC9C0"/>
              <w:right w:val="single" w:sz="2" w:space="0" w:color="BFC9C0"/>
            </w:tcBorders>
            <w:shd w:val="clear" w:color="auto" w:fill="EEF3F1"/>
          </w:tcPr>
          <w:p w14:paraId="0E898C16" w14:textId="77777777" w:rsidR="00CD5946" w:rsidRDefault="00000000">
            <w:pPr>
              <w:spacing w:line="276" w:lineRule="auto"/>
            </w:pPr>
            <w:r>
              <w:rPr>
                <w:color w:val="1A1A1A"/>
                <w:sz w:val="18"/>
                <w:szCs w:val="18"/>
              </w:rPr>
              <w:t>19</w:t>
            </w:r>
          </w:p>
        </w:tc>
        <w:tc>
          <w:tcPr>
            <w:tcW w:w="4604" w:type="dxa"/>
            <w:tcBorders>
              <w:top w:val="single" w:sz="2" w:space="0" w:color="BFC9C0"/>
              <w:left w:val="single" w:sz="2" w:space="0" w:color="BFC9C0"/>
              <w:bottom w:val="single" w:sz="2" w:space="0" w:color="BFC9C0"/>
              <w:right w:val="single" w:sz="2" w:space="0" w:color="BFC9C0"/>
            </w:tcBorders>
            <w:shd w:val="clear" w:color="auto" w:fill="EEF3F1"/>
          </w:tcPr>
          <w:p w14:paraId="4DCFD2DA" w14:textId="77777777" w:rsidR="00CD5946" w:rsidRDefault="00000000">
            <w:pPr>
              <w:spacing w:line="276" w:lineRule="auto"/>
            </w:pPr>
            <w:r>
              <w:rPr>
                <w:color w:val="1A1A1A"/>
                <w:sz w:val="18"/>
                <w:szCs w:val="18"/>
              </w:rPr>
              <w:t>Reference and Retention Samples</w:t>
            </w:r>
          </w:p>
        </w:tc>
        <w:tc>
          <w:tcPr>
            <w:tcW w:w="3660" w:type="dxa"/>
            <w:tcBorders>
              <w:top w:val="single" w:sz="2" w:space="0" w:color="BFC9C0"/>
              <w:left w:val="single" w:sz="2" w:space="0" w:color="BFC9C0"/>
              <w:bottom w:val="single" w:sz="2" w:space="0" w:color="BFC9C0"/>
              <w:right w:val="single" w:sz="2" w:space="0" w:color="BFC9C0"/>
            </w:tcBorders>
            <w:shd w:val="clear" w:color="auto" w:fill="EEF3F1"/>
          </w:tcPr>
          <w:p w14:paraId="38D8CB24" w14:textId="77777777" w:rsidR="00CD5946" w:rsidRDefault="00000000">
            <w:pPr>
              <w:spacing w:line="276" w:lineRule="auto"/>
            </w:pPr>
            <w:r>
              <w:rPr>
                <w:color w:val="1A1A1A"/>
                <w:sz w:val="18"/>
                <w:szCs w:val="18"/>
              </w:rPr>
              <w:t>EU GMP Annex 19</w:t>
            </w:r>
          </w:p>
        </w:tc>
      </w:tr>
      <w:tr w:rsidR="00CD5946" w14:paraId="70BD0F17" w14:textId="77777777">
        <w:tc>
          <w:tcPr>
            <w:tcW w:w="1096" w:type="dxa"/>
            <w:tcBorders>
              <w:top w:val="single" w:sz="2" w:space="0" w:color="BFC9C0"/>
              <w:left w:val="single" w:sz="2" w:space="0" w:color="BFC9C0"/>
              <w:bottom w:val="single" w:sz="2" w:space="0" w:color="BFC9C0"/>
              <w:right w:val="single" w:sz="2" w:space="0" w:color="BFC9C0"/>
            </w:tcBorders>
            <w:shd w:val="clear" w:color="auto" w:fill="FFFFFF"/>
          </w:tcPr>
          <w:p w14:paraId="47523DA0" w14:textId="77777777" w:rsidR="00CD5946" w:rsidRDefault="00000000">
            <w:pPr>
              <w:spacing w:line="276" w:lineRule="auto"/>
            </w:pPr>
            <w:r>
              <w:rPr>
                <w:color w:val="1A1A1A"/>
                <w:sz w:val="18"/>
                <w:szCs w:val="18"/>
              </w:rPr>
              <w:t>21</w:t>
            </w:r>
          </w:p>
        </w:tc>
        <w:tc>
          <w:tcPr>
            <w:tcW w:w="4604" w:type="dxa"/>
            <w:tcBorders>
              <w:top w:val="single" w:sz="2" w:space="0" w:color="BFC9C0"/>
              <w:left w:val="single" w:sz="2" w:space="0" w:color="BFC9C0"/>
              <w:bottom w:val="single" w:sz="2" w:space="0" w:color="BFC9C0"/>
              <w:right w:val="single" w:sz="2" w:space="0" w:color="BFC9C0"/>
            </w:tcBorders>
            <w:shd w:val="clear" w:color="auto" w:fill="FFFFFF"/>
          </w:tcPr>
          <w:p w14:paraId="3913044F" w14:textId="77777777" w:rsidR="00CD5946" w:rsidRDefault="00000000">
            <w:pPr>
              <w:spacing w:line="276" w:lineRule="auto"/>
            </w:pPr>
            <w:r>
              <w:rPr>
                <w:color w:val="1A1A1A"/>
                <w:sz w:val="18"/>
                <w:szCs w:val="18"/>
              </w:rPr>
              <w:t>Importation of Medicinal Products</w:t>
            </w:r>
          </w:p>
        </w:tc>
        <w:tc>
          <w:tcPr>
            <w:tcW w:w="3660" w:type="dxa"/>
            <w:tcBorders>
              <w:top w:val="single" w:sz="2" w:space="0" w:color="BFC9C0"/>
              <w:left w:val="single" w:sz="2" w:space="0" w:color="BFC9C0"/>
              <w:bottom w:val="single" w:sz="2" w:space="0" w:color="BFC9C0"/>
              <w:right w:val="single" w:sz="2" w:space="0" w:color="BFC9C0"/>
            </w:tcBorders>
            <w:shd w:val="clear" w:color="auto" w:fill="FFFFFF"/>
          </w:tcPr>
          <w:p w14:paraId="299914BB" w14:textId="77777777" w:rsidR="00CD5946" w:rsidRDefault="00000000">
            <w:pPr>
              <w:spacing w:line="276" w:lineRule="auto"/>
            </w:pPr>
            <w:r>
              <w:rPr>
                <w:color w:val="1A1A1A"/>
                <w:sz w:val="18"/>
                <w:szCs w:val="18"/>
              </w:rPr>
              <w:t>EU GMP Annex 21 (2022)</w:t>
            </w:r>
          </w:p>
        </w:tc>
      </w:tr>
      <w:tr w:rsidR="00CD5946" w14:paraId="6707CF48" w14:textId="77777777">
        <w:tc>
          <w:tcPr>
            <w:tcW w:w="1096" w:type="dxa"/>
            <w:tcBorders>
              <w:top w:val="single" w:sz="2" w:space="0" w:color="BFC9C0"/>
              <w:left w:val="single" w:sz="2" w:space="0" w:color="BFC9C0"/>
              <w:bottom w:val="single" w:sz="2" w:space="0" w:color="BFC9C0"/>
              <w:right w:val="single" w:sz="2" w:space="0" w:color="BFC9C0"/>
            </w:tcBorders>
            <w:shd w:val="clear" w:color="auto" w:fill="EEF3F1"/>
          </w:tcPr>
          <w:p w14:paraId="1FF8D84C" w14:textId="77777777" w:rsidR="00CD5946" w:rsidRDefault="00000000">
            <w:pPr>
              <w:spacing w:line="276" w:lineRule="auto"/>
            </w:pPr>
            <w:r>
              <w:rPr>
                <w:color w:val="1A1A1A"/>
                <w:sz w:val="18"/>
                <w:szCs w:val="18"/>
              </w:rPr>
              <w:t>A</w:t>
              <w:noBreakHyphen/>
              <w:t>DI</w:t>
            </w:r>
          </w:p>
        </w:tc>
        <w:tc>
          <w:tcPr>
            <w:tcW w:w="4604" w:type="dxa"/>
            <w:tcBorders>
              <w:top w:val="single" w:sz="2" w:space="0" w:color="BFC9C0"/>
              <w:left w:val="single" w:sz="2" w:space="0" w:color="BFC9C0"/>
              <w:bottom w:val="single" w:sz="2" w:space="0" w:color="BFC9C0"/>
              <w:right w:val="single" w:sz="2" w:space="0" w:color="BFC9C0"/>
            </w:tcBorders>
            <w:shd w:val="clear" w:color="auto" w:fill="EEF3F1"/>
          </w:tcPr>
          <w:p w14:paraId="288EA7AA" w14:textId="77777777" w:rsidR="00CD5946" w:rsidRDefault="00000000">
            <w:pPr>
              <w:spacing w:line="276" w:lineRule="auto"/>
            </w:pPr>
            <w:r>
              <w:rPr>
                <w:color w:val="1A1A1A"/>
                <w:sz w:val="18"/>
                <w:szCs w:val="18"/>
              </w:rPr>
              <w:t>Arab Annex — Data Integrity (ALCOA+) across paper &amp; electronic records</w:t>
            </w:r>
          </w:p>
        </w:tc>
        <w:tc>
          <w:tcPr>
            <w:tcW w:w="3660" w:type="dxa"/>
            <w:tcBorders>
              <w:top w:val="single" w:sz="2" w:space="0" w:color="BFC9C0"/>
              <w:left w:val="single" w:sz="2" w:space="0" w:color="BFC9C0"/>
              <w:bottom w:val="single" w:sz="2" w:space="0" w:color="BFC9C0"/>
              <w:right w:val="single" w:sz="2" w:space="0" w:color="BFC9C0"/>
            </w:tcBorders>
            <w:shd w:val="clear" w:color="auto" w:fill="EEF3F1"/>
          </w:tcPr>
          <w:p w14:paraId="03C2E640" w14:textId="77777777" w:rsidR="00CD5946" w:rsidRDefault="00000000">
            <w:pPr>
              <w:spacing w:line="276" w:lineRule="auto"/>
            </w:pPr>
            <w:r>
              <w:rPr>
                <w:color w:val="1A1A1A"/>
                <w:sz w:val="18"/>
                <w:szCs w:val="18"/>
              </w:rPr>
              <w:t>PIC/S PI 041-1 · WHO TRS 1033 Annex 4 · FDA DI (2018)</w:t>
            </w:r>
          </w:p>
        </w:tc>
      </w:tr>
      <w:tr w:rsidR="00CD5946" w14:paraId="0705140F" w14:textId="77777777">
        <w:tc>
          <w:tcPr>
            <w:tcW w:w="1096" w:type="dxa"/>
            <w:tcBorders>
              <w:top w:val="single" w:sz="2" w:space="0" w:color="BFC9C0"/>
              <w:left w:val="single" w:sz="2" w:space="0" w:color="BFC9C0"/>
              <w:bottom w:val="single" w:sz="2" w:space="0" w:color="BFC9C0"/>
              <w:right w:val="single" w:sz="2" w:space="0" w:color="BFC9C0"/>
            </w:tcBorders>
            <w:shd w:val="clear" w:color="auto" w:fill="FFFFFF"/>
          </w:tcPr>
          <w:p w14:paraId="31A7F98A" w14:textId="77777777" w:rsidR="00CD5946" w:rsidRDefault="00000000">
            <w:pPr>
              <w:spacing w:line="276" w:lineRule="auto"/>
            </w:pPr>
            <w:r>
              <w:rPr>
                <w:color w:val="1A1A1A"/>
                <w:sz w:val="18"/>
                <w:szCs w:val="18"/>
              </w:rPr>
              <w:t>A</w:t>
              <w:noBreakHyphen/>
              <w:t>CCS</w:t>
            </w:r>
          </w:p>
        </w:tc>
        <w:tc>
          <w:tcPr>
            <w:tcW w:w="4604" w:type="dxa"/>
            <w:tcBorders>
              <w:top w:val="single" w:sz="2" w:space="0" w:color="BFC9C0"/>
              <w:left w:val="single" w:sz="2" w:space="0" w:color="BFC9C0"/>
              <w:bottom w:val="single" w:sz="2" w:space="0" w:color="BFC9C0"/>
              <w:right w:val="single" w:sz="2" w:space="0" w:color="BFC9C0"/>
            </w:tcBorders>
            <w:shd w:val="clear" w:color="auto" w:fill="FFFFFF"/>
          </w:tcPr>
          <w:p w14:paraId="141CEAB1" w14:textId="77777777" w:rsidR="00CD5946" w:rsidRDefault="00000000">
            <w:pPr>
              <w:spacing w:line="276" w:lineRule="auto"/>
            </w:pPr>
            <w:r>
              <w:rPr>
                <w:color w:val="1A1A1A"/>
                <w:sz w:val="18"/>
                <w:szCs w:val="18"/>
              </w:rPr>
              <w:t>Arab Annex — Contamination Control Strategy</w:t>
            </w:r>
          </w:p>
        </w:tc>
        <w:tc>
          <w:tcPr>
            <w:tcW w:w="3660" w:type="dxa"/>
            <w:tcBorders>
              <w:top w:val="single" w:sz="2" w:space="0" w:color="BFC9C0"/>
              <w:left w:val="single" w:sz="2" w:space="0" w:color="BFC9C0"/>
              <w:bottom w:val="single" w:sz="2" w:space="0" w:color="BFC9C0"/>
              <w:right w:val="single" w:sz="2" w:space="0" w:color="BFC9C0"/>
            </w:tcBorders>
            <w:shd w:val="clear" w:color="auto" w:fill="FFFFFF"/>
          </w:tcPr>
          <w:p w14:paraId="34644DAF" w14:textId="77777777" w:rsidR="00CD5946" w:rsidRDefault="00000000">
            <w:pPr>
              <w:spacing w:line="276" w:lineRule="auto"/>
            </w:pPr>
            <w:r>
              <w:rPr>
                <w:color w:val="1A1A1A"/>
                <w:sz w:val="18"/>
                <w:szCs w:val="18"/>
              </w:rPr>
              <w:t>EU GMP Annex 1 (2022) §2</w:t>
            </w:r>
          </w:p>
        </w:tc>
      </w:tr>
      <w:tr w:rsidR="00CD5946" w14:paraId="39C7E6E0" w14:textId="77777777">
        <w:tc>
          <w:tcPr>
            <w:tcW w:w="1096" w:type="dxa"/>
            <w:tcBorders>
              <w:top w:val="single" w:sz="2" w:space="0" w:color="BFC9C0"/>
              <w:left w:val="single" w:sz="2" w:space="0" w:color="BFC9C0"/>
              <w:bottom w:val="single" w:sz="2" w:space="0" w:color="BFC9C0"/>
              <w:right w:val="single" w:sz="2" w:space="0" w:color="BFC9C0"/>
            </w:tcBorders>
            <w:shd w:val="clear" w:color="auto" w:fill="EEF3F1"/>
          </w:tcPr>
          <w:p w14:paraId="68DF42FC" w14:textId="77777777" w:rsidR="00CD5946" w:rsidRDefault="00000000">
            <w:pPr>
              <w:spacing w:line="276" w:lineRule="auto"/>
            </w:pPr>
            <w:r>
              <w:rPr>
                <w:color w:val="1A1A1A"/>
                <w:sz w:val="18"/>
                <w:szCs w:val="18"/>
              </w:rPr>
              <w:t>A</w:t>
              <w:noBreakHyphen/>
              <w:t>WAT</w:t>
            </w:r>
          </w:p>
        </w:tc>
        <w:tc>
          <w:tcPr>
            <w:tcW w:w="4604" w:type="dxa"/>
            <w:tcBorders>
              <w:top w:val="single" w:sz="2" w:space="0" w:color="BFC9C0"/>
              <w:left w:val="single" w:sz="2" w:space="0" w:color="BFC9C0"/>
              <w:bottom w:val="single" w:sz="2" w:space="0" w:color="BFC9C0"/>
              <w:right w:val="single" w:sz="2" w:space="0" w:color="BFC9C0"/>
            </w:tcBorders>
            <w:shd w:val="clear" w:color="auto" w:fill="EEF3F1"/>
          </w:tcPr>
          <w:p w14:paraId="5819BEF2" w14:textId="77777777" w:rsidR="00CD5946" w:rsidRDefault="00000000">
            <w:pPr>
              <w:spacing w:line="276" w:lineRule="auto"/>
            </w:pPr>
            <w:r>
              <w:rPr>
                <w:color w:val="1A1A1A"/>
                <w:sz w:val="18"/>
                <w:szCs w:val="18"/>
              </w:rPr>
              <w:t>Arab Annex — Water for Pharmaceutical Use</w:t>
            </w:r>
          </w:p>
        </w:tc>
        <w:tc>
          <w:tcPr>
            <w:tcW w:w="3660" w:type="dxa"/>
            <w:tcBorders>
              <w:top w:val="single" w:sz="2" w:space="0" w:color="BFC9C0"/>
              <w:left w:val="single" w:sz="2" w:space="0" w:color="BFC9C0"/>
              <w:bottom w:val="single" w:sz="2" w:space="0" w:color="BFC9C0"/>
              <w:right w:val="single" w:sz="2" w:space="0" w:color="BFC9C0"/>
            </w:tcBorders>
            <w:shd w:val="clear" w:color="auto" w:fill="EEF3F1"/>
          </w:tcPr>
          <w:p w14:paraId="6EBF3E5A" w14:textId="77777777" w:rsidR="00CD5946" w:rsidRDefault="00000000">
            <w:pPr>
              <w:spacing w:line="276" w:lineRule="auto"/>
            </w:pPr>
            <w:r>
              <w:rPr>
                <w:color w:val="1A1A1A"/>
                <w:sz w:val="18"/>
                <w:szCs w:val="18"/>
              </w:rPr>
              <w:t>WHO TRS 1033 Annex 3 · Ph.Eur./USP</w:t>
            </w:r>
          </w:p>
        </w:tc>
      </w:tr>
      <w:tr w:rsidR="00CD5946" w14:paraId="79DAE2AB" w14:textId="77777777">
        <w:tc>
          <w:tcPr>
            <w:tcW w:w="1096" w:type="dxa"/>
            <w:tcBorders>
              <w:top w:val="single" w:sz="2" w:space="0" w:color="BFC9C0"/>
              <w:left w:val="single" w:sz="2" w:space="0" w:color="BFC9C0"/>
              <w:bottom w:val="single" w:sz="2" w:space="0" w:color="BFC9C0"/>
              <w:right w:val="single" w:sz="2" w:space="0" w:color="BFC9C0"/>
            </w:tcBorders>
            <w:shd w:val="clear" w:color="auto" w:fill="FFFFFF"/>
          </w:tcPr>
          <w:p w14:paraId="44F0F3AB" w14:textId="77777777" w:rsidR="00CD5946" w:rsidRDefault="00000000">
            <w:pPr>
              <w:spacing w:line="276" w:lineRule="auto"/>
            </w:pPr>
            <w:r>
              <w:rPr>
                <w:color w:val="1A1A1A"/>
                <w:sz w:val="18"/>
                <w:szCs w:val="18"/>
              </w:rPr>
              <w:t>A</w:t>
              <w:noBreakHyphen/>
              <w:t>CR</w:t>
            </w:r>
          </w:p>
        </w:tc>
        <w:tc>
          <w:tcPr>
            <w:tcW w:w="4604" w:type="dxa"/>
            <w:tcBorders>
              <w:top w:val="single" w:sz="2" w:space="0" w:color="BFC9C0"/>
              <w:left w:val="single" w:sz="2" w:space="0" w:color="BFC9C0"/>
              <w:bottom w:val="single" w:sz="2" w:space="0" w:color="BFC9C0"/>
              <w:right w:val="single" w:sz="2" w:space="0" w:color="BFC9C0"/>
            </w:tcBorders>
            <w:shd w:val="clear" w:color="auto" w:fill="FFFFFF"/>
          </w:tcPr>
          <w:p w14:paraId="6AC0CE38" w14:textId="77777777" w:rsidR="00CD5946" w:rsidRDefault="00000000">
            <w:pPr>
              <w:spacing w:line="276" w:lineRule="auto"/>
            </w:pPr>
            <w:r>
              <w:rPr>
                <w:color w:val="1A1A1A"/>
                <w:sz w:val="18"/>
                <w:szCs w:val="18"/>
              </w:rPr>
              <w:t>Arab Annex — Cleanroom Classification &amp; Qualification</w:t>
            </w:r>
          </w:p>
        </w:tc>
        <w:tc>
          <w:tcPr>
            <w:tcW w:w="3660" w:type="dxa"/>
            <w:tcBorders>
              <w:top w:val="single" w:sz="2" w:space="0" w:color="BFC9C0"/>
              <w:left w:val="single" w:sz="2" w:space="0" w:color="BFC9C0"/>
              <w:bottom w:val="single" w:sz="2" w:space="0" w:color="BFC9C0"/>
              <w:right w:val="single" w:sz="2" w:space="0" w:color="BFC9C0"/>
            </w:tcBorders>
            <w:shd w:val="clear" w:color="auto" w:fill="FFFFFF"/>
          </w:tcPr>
          <w:p w14:paraId="01B43827" w14:textId="77777777" w:rsidR="00CD5946" w:rsidRDefault="00000000">
            <w:pPr>
              <w:spacing w:line="276" w:lineRule="auto"/>
            </w:pPr>
            <w:r>
              <w:rPr>
                <w:color w:val="1A1A1A"/>
                <w:sz w:val="18"/>
                <w:szCs w:val="18"/>
              </w:rPr>
              <w:t>ISO 14644-1/-2:2015 · EU GMP Annex 1</w:t>
            </w:r>
          </w:p>
        </w:tc>
      </w:tr>
      <w:tr w:rsidR="00674549" w14:paraId="5505980A" w14:textId="77777777">
        <w:tc>
          <w:tcPr>
            <w:tcW w:w="1096" w:type="dxa"/>
          </w:tcPr>
          <w:p w14:paraId="5D36A44C" w14:textId="77777777" w:rsidR="00674549" w:rsidRDefault="00000000">
            <w:r>
              <w:lastRenderedPageBreak/>
              <w:t>A-AI</w:t>
            </w:r>
          </w:p>
        </w:tc>
        <w:tc>
          <w:tcPr>
            <w:tcW w:w="4604" w:type="dxa"/>
          </w:tcPr>
          <w:p w14:paraId="1449D0DA" w14:textId="77777777" w:rsidR="00674549" w:rsidRDefault="00000000">
            <w:r>
              <w:t>Arab Annex — Governance of AI/ML Applications in GMP</w:t>
            </w:r>
          </w:p>
        </w:tc>
        <w:tc>
          <w:tcPr>
            <w:tcW w:w="3660" w:type="dxa"/>
          </w:tcPr>
          <w:p w14:paraId="6EDDFB7B" w14:textId="77777777" w:rsidR="00674549" w:rsidRDefault="00000000">
            <w:r>
              <w:t>PIC/S draft Annex 22 · EU GMP Annex 11 (revision) · ICH</w:t>
            </w:r>
          </w:p>
        </w:tc>
      </w:tr>
      <w:tr w:rsidR="00674549" w14:paraId="409B3B72" w14:textId="77777777">
        <w:tc>
          <w:tcPr>
            <w:tcW w:w="1096" w:type="dxa"/>
          </w:tcPr>
          <w:p w14:paraId="52A6A94C" w14:textId="77777777" w:rsidR="00674549" w:rsidRDefault="00000000">
            <w:r>
              <w:t>A-GDP</w:t>
            </w:r>
          </w:p>
        </w:tc>
        <w:tc>
          <w:tcPr>
            <w:tcW w:w="4604" w:type="dxa"/>
          </w:tcPr>
          <w:p w14:paraId="5EB9B780" w14:textId="77777777" w:rsidR="00674549" w:rsidRDefault="00000000">
            <w:r>
              <w:t>Arab Annex — Good Distribution Practice (interface)</w:t>
            </w:r>
          </w:p>
        </w:tc>
        <w:tc>
          <w:tcPr>
            <w:tcW w:w="3660" w:type="dxa"/>
          </w:tcPr>
          <w:p w14:paraId="15C1A31D" w14:textId="77777777" w:rsidR="00674549" w:rsidRDefault="00000000">
            <w:r>
              <w:t>WHO TRS GDP · EU GDP (2013/C 343/01)</w:t>
            </w:r>
          </w:p>
        </w:tc>
      </w:tr>
    </w:tbl>
    <w:p w14:paraId="1E4448D3" w14:textId="77777777" w:rsidR="00CD5946" w:rsidRDefault="00000000">
      <w:pPr>
        <w:pStyle w:val="Heading2"/>
      </w:pPr>
      <w:bookmarkStart w:id="37" w:name="__RefHeading___Toc9225_1729075678"/>
      <w:bookmarkEnd w:id="37"/>
      <w:r>
        <w:t>2.5 Appendices</w:t>
      </w:r>
    </w:p>
    <w:p w14:paraId="3CAA9A46" w14:textId="77777777" w:rsidR="00CD5946" w:rsidRDefault="00000000">
      <w:pPr>
        <w:pStyle w:val="ListParagraph"/>
        <w:numPr>
          <w:ilvl w:val="0"/>
          <w:numId w:val="3"/>
        </w:numPr>
        <w:spacing w:after="60"/>
      </w:pPr>
      <w:r>
        <w:rPr>
          <w:color w:val="1A1A1A"/>
        </w:rPr>
        <w:t>Appendix A — Alignment with the ICH quality guidelines (Q1–Q14).</w:t>
      </w:r>
    </w:p>
    <w:p w14:paraId="77ED3E2D" w14:textId="77777777" w:rsidR="00CD5946" w:rsidRDefault="00000000">
      <w:pPr>
        <w:pStyle w:val="ListParagraph"/>
        <w:numPr>
          <w:ilvl w:val="0"/>
          <w:numId w:val="3"/>
        </w:numPr>
        <w:spacing w:after="60"/>
      </w:pPr>
      <w:r>
        <w:rPr>
          <w:color w:val="1A1A1A"/>
        </w:rPr>
        <w:t>Appendix B — Acceptance criteria &amp; reference limits register (controlled, dated; the quantitative standards referenced throughout).</w:t>
      </w:r>
    </w:p>
    <w:p w14:paraId="637740E0" w14:textId="77777777" w:rsidR="00CD5946" w:rsidRDefault="00000000">
      <w:pPr>
        <w:pStyle w:val="ListParagraph"/>
        <w:numPr>
          <w:ilvl w:val="0"/>
          <w:numId w:val="3"/>
        </w:numPr>
        <w:spacing w:after="60"/>
      </w:pPr>
      <w:r>
        <w:rPr>
          <w:color w:val="1A1A1A"/>
        </w:rPr>
        <w:t>Appendix C — Harmonised glossary of definitions.</w:t>
      </w:r>
    </w:p>
    <w:p w14:paraId="7100CD61" w14:textId="77777777" w:rsidR="00CD5946" w:rsidRDefault="00000000">
      <w:pPr>
        <w:pStyle w:val="ListParagraph"/>
        <w:numPr>
          <w:ilvl w:val="0"/>
          <w:numId w:val="3"/>
        </w:numPr>
        <w:spacing w:after="60"/>
      </w:pPr>
      <w:r>
        <w:rPr>
          <w:color w:val="1A1A1A"/>
        </w:rPr>
        <w:t>Appendix D — Normative references (with versions).</w:t>
      </w:r>
    </w:p>
    <w:p w14:paraId="46D3F3AE" w14:textId="77777777" w:rsidR="00CD5946" w:rsidRDefault="00000000">
      <w:r>
        <w:br w:type="page"/>
      </w:r>
    </w:p>
    <w:p w14:paraId="4C383459" w14:textId="77777777" w:rsidR="00CD5946" w:rsidRDefault="00000000">
      <w:pPr>
        <w:pStyle w:val="Heading1"/>
        <w:spacing w:before="0"/>
      </w:pPr>
      <w:bookmarkStart w:id="38" w:name="__RefHeading___Toc9227_1729075678"/>
      <w:bookmarkEnd w:id="38"/>
      <w:r>
        <w:lastRenderedPageBreak/>
        <w:t>3. Harmonisation mapping</w:t>
      </w:r>
    </w:p>
    <w:p w14:paraId="233D27E1" w14:textId="77777777" w:rsidR="00CD5946" w:rsidRDefault="00000000">
      <w:pPr>
        <w:spacing w:line="276" w:lineRule="auto"/>
      </w:pPr>
      <w:r>
        <w:rPr>
          <w:color w:val="1A1A1A"/>
        </w:rPr>
        <w:t>The table indicates, for each major component, the principal source guideline(s) with which the 2026 Edition is harmonised. Because the SFDA GMP Guide (v4.4) is itself structured on, and aligned with, EU GMP and PIC/S, the 'EU GMP' and 'PIC/S' columns simultaneously represent alignment with the in-force SFDA standard; the Working Group will reconcile any SFDA-specific national provisions at drafting.</w:t>
      </w:r>
    </w:p>
    <w:tbl>
      <w:tblPr>
        <w:tblW w:w="9360" w:type="dxa"/>
        <w:tblInd w:w="92" w:type="dxa"/>
        <w:tblLayout w:type="fixed"/>
        <w:tblCellMar>
          <w:top w:w="60" w:type="dxa"/>
          <w:left w:w="90" w:type="dxa"/>
          <w:bottom w:w="60" w:type="dxa"/>
          <w:right w:w="90" w:type="dxa"/>
        </w:tblCellMar>
        <w:tblLook w:val="0000" w:firstRow="0" w:lastRow="0" w:firstColumn="0" w:lastColumn="0" w:noHBand="0" w:noVBand="0"/>
      </w:tblPr>
      <w:tblGrid>
        <w:gridCol w:w="2600"/>
        <w:gridCol w:w="1496"/>
        <w:gridCol w:w="1300"/>
        <w:gridCol w:w="1404"/>
        <w:gridCol w:w="2560"/>
      </w:tblGrid>
      <w:tr w:rsidR="00CD5946" w14:paraId="3A5B292B" w14:textId="77777777">
        <w:trPr>
          <w:tblHeader/>
        </w:trPr>
        <w:tc>
          <w:tcPr>
            <w:tcW w:w="2600" w:type="dxa"/>
            <w:tcBorders>
              <w:top w:val="single" w:sz="2" w:space="0" w:color="BFC9C0"/>
              <w:left w:val="single" w:sz="2" w:space="0" w:color="BFC9C0"/>
              <w:bottom w:val="single" w:sz="2" w:space="0" w:color="BFC9C0"/>
              <w:right w:val="single" w:sz="2" w:space="0" w:color="BFC9C0"/>
            </w:tcBorders>
            <w:shd w:val="clear" w:color="auto" w:fill="0E5A50"/>
          </w:tcPr>
          <w:p w14:paraId="7C2FABA4" w14:textId="77777777" w:rsidR="00CD5946" w:rsidRDefault="00000000">
            <w:pPr>
              <w:spacing w:line="276" w:lineRule="auto"/>
            </w:pPr>
            <w:r>
              <w:rPr>
                <w:b/>
                <w:bCs/>
                <w:color w:val="FFFFFF"/>
                <w:sz w:val="18"/>
                <w:szCs w:val="18"/>
              </w:rPr>
              <w:t>2026 component</w:t>
            </w:r>
          </w:p>
        </w:tc>
        <w:tc>
          <w:tcPr>
            <w:tcW w:w="1496" w:type="dxa"/>
            <w:tcBorders>
              <w:top w:val="single" w:sz="2" w:space="0" w:color="BFC9C0"/>
              <w:left w:val="single" w:sz="2" w:space="0" w:color="BFC9C0"/>
              <w:bottom w:val="single" w:sz="2" w:space="0" w:color="BFC9C0"/>
              <w:right w:val="single" w:sz="2" w:space="0" w:color="BFC9C0"/>
            </w:tcBorders>
            <w:shd w:val="clear" w:color="auto" w:fill="0E5A50"/>
          </w:tcPr>
          <w:p w14:paraId="4BD8A8AA" w14:textId="77777777" w:rsidR="00CD5946" w:rsidRDefault="00000000">
            <w:pPr>
              <w:spacing w:line="276" w:lineRule="auto"/>
            </w:pPr>
            <w:r>
              <w:rPr>
                <w:b/>
                <w:bCs/>
                <w:color w:val="FFFFFF"/>
                <w:sz w:val="18"/>
                <w:szCs w:val="18"/>
              </w:rPr>
              <w:t xml:space="preserve">EU </w:t>
            </w:r>
            <w:r>
              <w:rPr>
                <w:b/>
                <w:bCs/>
                <w:color w:val="FAF7F2"/>
                <w:sz w:val="18"/>
                <w:szCs w:val="18"/>
              </w:rPr>
              <w:t>GMP</w:t>
            </w:r>
          </w:p>
        </w:tc>
        <w:tc>
          <w:tcPr>
            <w:tcW w:w="1300" w:type="dxa"/>
            <w:tcBorders>
              <w:top w:val="single" w:sz="2" w:space="0" w:color="BFC9C0"/>
              <w:left w:val="single" w:sz="2" w:space="0" w:color="BFC9C0"/>
              <w:bottom w:val="single" w:sz="2" w:space="0" w:color="BFC9C0"/>
              <w:right w:val="single" w:sz="2" w:space="0" w:color="BFC9C0"/>
            </w:tcBorders>
            <w:shd w:val="clear" w:color="auto" w:fill="0E5A50"/>
          </w:tcPr>
          <w:p w14:paraId="51CB65C9" w14:textId="77777777" w:rsidR="00CD5946" w:rsidRDefault="00000000">
            <w:pPr>
              <w:spacing w:line="276" w:lineRule="auto"/>
            </w:pPr>
            <w:r>
              <w:rPr>
                <w:b/>
                <w:bCs/>
                <w:color w:val="FFFFFF"/>
                <w:sz w:val="18"/>
                <w:szCs w:val="18"/>
              </w:rPr>
              <w:t xml:space="preserve">US </w:t>
            </w:r>
            <w:r>
              <w:rPr>
                <w:b/>
                <w:bCs/>
                <w:color w:val="FAF7F2"/>
                <w:sz w:val="18"/>
                <w:szCs w:val="18"/>
              </w:rPr>
              <w:t>FDA</w:t>
            </w:r>
          </w:p>
        </w:tc>
        <w:tc>
          <w:tcPr>
            <w:tcW w:w="1404" w:type="dxa"/>
            <w:tcBorders>
              <w:top w:val="single" w:sz="2" w:space="0" w:color="BFC9C0"/>
              <w:left w:val="single" w:sz="2" w:space="0" w:color="BFC9C0"/>
              <w:bottom w:val="single" w:sz="2" w:space="0" w:color="BFC9C0"/>
              <w:right w:val="single" w:sz="2" w:space="0" w:color="BFC9C0"/>
            </w:tcBorders>
            <w:shd w:val="clear" w:color="auto" w:fill="0E5A50"/>
          </w:tcPr>
          <w:p w14:paraId="030CBCAB" w14:textId="77777777" w:rsidR="00CD5946" w:rsidRDefault="00000000">
            <w:pPr>
              <w:spacing w:line="276" w:lineRule="auto"/>
            </w:pPr>
            <w:r>
              <w:rPr>
                <w:b/>
                <w:bCs/>
                <w:color w:val="FAF7F2"/>
                <w:sz w:val="18"/>
                <w:szCs w:val="18"/>
              </w:rPr>
              <w:t>WHO</w:t>
            </w:r>
          </w:p>
        </w:tc>
        <w:tc>
          <w:tcPr>
            <w:tcW w:w="2560" w:type="dxa"/>
            <w:tcBorders>
              <w:top w:val="single" w:sz="2" w:space="0" w:color="BFC9C0"/>
              <w:left w:val="single" w:sz="2" w:space="0" w:color="BFC9C0"/>
              <w:bottom w:val="single" w:sz="2" w:space="0" w:color="BFC9C0"/>
              <w:right w:val="single" w:sz="2" w:space="0" w:color="BFC9C0"/>
            </w:tcBorders>
            <w:shd w:val="clear" w:color="auto" w:fill="0E5A50"/>
          </w:tcPr>
          <w:p w14:paraId="1AAEAE23" w14:textId="77777777" w:rsidR="00CD5946" w:rsidRDefault="00000000">
            <w:pPr>
              <w:spacing w:line="276" w:lineRule="auto"/>
            </w:pPr>
            <w:r>
              <w:rPr>
                <w:b/>
                <w:bCs/>
                <w:color w:val="FAF7F2"/>
                <w:sz w:val="18"/>
                <w:szCs w:val="18"/>
              </w:rPr>
              <w:t>PIC/S</w:t>
            </w:r>
            <w:r>
              <w:rPr>
                <w:b/>
                <w:bCs/>
                <w:color w:val="FFFFFF"/>
                <w:sz w:val="18"/>
                <w:szCs w:val="18"/>
              </w:rPr>
              <w:t xml:space="preserve"> · </w:t>
            </w:r>
            <w:r>
              <w:rPr>
                <w:b/>
                <w:bCs/>
                <w:color w:val="FAF7F2"/>
                <w:sz w:val="18"/>
                <w:szCs w:val="18"/>
              </w:rPr>
              <w:t>ICH</w:t>
            </w:r>
            <w:r>
              <w:rPr>
                <w:b/>
                <w:bCs/>
                <w:color w:val="FFFFFF"/>
                <w:sz w:val="18"/>
                <w:szCs w:val="18"/>
              </w:rPr>
              <w:t xml:space="preserve"> · </w:t>
            </w:r>
            <w:r>
              <w:rPr>
                <w:b/>
                <w:bCs/>
                <w:color w:val="FAF7F2"/>
                <w:sz w:val="18"/>
                <w:szCs w:val="18"/>
              </w:rPr>
              <w:t>ISO</w:t>
            </w:r>
          </w:p>
        </w:tc>
      </w:tr>
      <w:tr w:rsidR="00CD5946" w14:paraId="72F8DFAC"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564726CB" w14:textId="77777777" w:rsidR="00CD5946" w:rsidRDefault="00000000">
            <w:pPr>
              <w:spacing w:line="276" w:lineRule="auto"/>
            </w:pPr>
            <w:r>
              <w:rPr>
                <w:color w:val="1A1A1A"/>
                <w:sz w:val="18"/>
                <w:szCs w:val="18"/>
              </w:rPr>
              <w:t>Ch.1 PQS</w:t>
            </w:r>
          </w:p>
        </w:tc>
        <w:tc>
          <w:tcPr>
            <w:tcW w:w="1496" w:type="dxa"/>
            <w:tcBorders>
              <w:top w:val="single" w:sz="2" w:space="0" w:color="BFC9C0"/>
              <w:left w:val="single" w:sz="2" w:space="0" w:color="BFC9C0"/>
              <w:bottom w:val="single" w:sz="2" w:space="0" w:color="BFC9C0"/>
              <w:right w:val="single" w:sz="2" w:space="0" w:color="BFC9C0"/>
            </w:tcBorders>
            <w:shd w:val="clear" w:color="auto" w:fill="FFFFFF"/>
          </w:tcPr>
          <w:p w14:paraId="02A8213A" w14:textId="77777777" w:rsidR="00CD5946" w:rsidRDefault="00000000">
            <w:pPr>
              <w:spacing w:line="276" w:lineRule="auto"/>
            </w:pPr>
            <w:r>
              <w:rPr>
                <w:color w:val="1A1A1A"/>
                <w:sz w:val="18"/>
                <w:szCs w:val="18"/>
              </w:rPr>
              <w:t>Part I Ch.1</w:t>
            </w:r>
          </w:p>
        </w:tc>
        <w:tc>
          <w:tcPr>
            <w:tcW w:w="1300" w:type="dxa"/>
            <w:tcBorders>
              <w:top w:val="single" w:sz="2" w:space="0" w:color="BFC9C0"/>
              <w:left w:val="single" w:sz="2" w:space="0" w:color="BFC9C0"/>
              <w:bottom w:val="single" w:sz="2" w:space="0" w:color="BFC9C0"/>
              <w:right w:val="single" w:sz="2" w:space="0" w:color="BFC9C0"/>
            </w:tcBorders>
            <w:shd w:val="clear" w:color="auto" w:fill="FFFFFF"/>
          </w:tcPr>
          <w:p w14:paraId="070F5BA1" w14:textId="77777777" w:rsidR="00CD5946" w:rsidRDefault="00000000">
            <w:pPr>
              <w:spacing w:line="276" w:lineRule="auto"/>
            </w:pPr>
            <w:r>
              <w:rPr>
                <w:color w:val="1A1A1A"/>
                <w:sz w:val="18"/>
                <w:szCs w:val="18"/>
              </w:rPr>
              <w:t>21 CFR 211(B)</w:t>
            </w:r>
          </w:p>
        </w:tc>
        <w:tc>
          <w:tcPr>
            <w:tcW w:w="1404" w:type="dxa"/>
            <w:tcBorders>
              <w:top w:val="single" w:sz="2" w:space="0" w:color="BFC9C0"/>
              <w:left w:val="single" w:sz="2" w:space="0" w:color="BFC9C0"/>
              <w:bottom w:val="single" w:sz="2" w:space="0" w:color="BFC9C0"/>
              <w:right w:val="single" w:sz="2" w:space="0" w:color="BFC9C0"/>
            </w:tcBorders>
            <w:shd w:val="clear" w:color="auto" w:fill="FFFFFF"/>
          </w:tcPr>
          <w:p w14:paraId="733AF3BF" w14:textId="77777777" w:rsidR="00CD5946" w:rsidRDefault="00000000">
            <w:pPr>
              <w:spacing w:line="276" w:lineRule="auto"/>
            </w:pPr>
            <w:r>
              <w:rPr>
                <w:color w:val="1A1A1A"/>
                <w:sz w:val="18"/>
                <w:szCs w:val="18"/>
              </w:rPr>
              <w:t>TRS 986</w:t>
            </w:r>
          </w:p>
        </w:tc>
        <w:tc>
          <w:tcPr>
            <w:tcW w:w="2560" w:type="dxa"/>
            <w:tcBorders>
              <w:top w:val="single" w:sz="2" w:space="0" w:color="BFC9C0"/>
              <w:left w:val="single" w:sz="2" w:space="0" w:color="BFC9C0"/>
              <w:bottom w:val="single" w:sz="2" w:space="0" w:color="BFC9C0"/>
              <w:right w:val="single" w:sz="2" w:space="0" w:color="BFC9C0"/>
            </w:tcBorders>
            <w:shd w:val="clear" w:color="auto" w:fill="FFFFFF"/>
          </w:tcPr>
          <w:p w14:paraId="37A5E96E" w14:textId="77777777" w:rsidR="00CD5946" w:rsidRDefault="00000000">
            <w:pPr>
              <w:spacing w:line="276" w:lineRule="auto"/>
            </w:pPr>
            <w:r>
              <w:rPr>
                <w:color w:val="1A1A1A"/>
                <w:sz w:val="18"/>
                <w:szCs w:val="18"/>
              </w:rPr>
              <w:t>ICH Q10/Q9 · PIC/S PE 009</w:t>
            </w:r>
          </w:p>
        </w:tc>
      </w:tr>
      <w:tr w:rsidR="00CD5946" w14:paraId="4F135E5A" w14:textId="77777777">
        <w:tc>
          <w:tcPr>
            <w:tcW w:w="2600" w:type="dxa"/>
            <w:tcBorders>
              <w:top w:val="single" w:sz="2" w:space="0" w:color="BFC9C0"/>
              <w:left w:val="single" w:sz="2" w:space="0" w:color="BFC9C0"/>
              <w:bottom w:val="single" w:sz="2" w:space="0" w:color="BFC9C0"/>
              <w:right w:val="single" w:sz="2" w:space="0" w:color="BFC9C0"/>
            </w:tcBorders>
            <w:shd w:val="clear" w:color="auto" w:fill="EEF3F1"/>
          </w:tcPr>
          <w:p w14:paraId="50A9CAF6" w14:textId="77777777" w:rsidR="00CD5946" w:rsidRDefault="00000000">
            <w:pPr>
              <w:spacing w:line="276" w:lineRule="auto"/>
            </w:pPr>
            <w:r>
              <w:rPr>
                <w:color w:val="1A1A1A"/>
                <w:sz w:val="18"/>
                <w:szCs w:val="18"/>
              </w:rPr>
              <w:t>Ch.2 Personnel</w:t>
            </w:r>
          </w:p>
        </w:tc>
        <w:tc>
          <w:tcPr>
            <w:tcW w:w="1496" w:type="dxa"/>
            <w:tcBorders>
              <w:top w:val="single" w:sz="2" w:space="0" w:color="BFC9C0"/>
              <w:left w:val="single" w:sz="2" w:space="0" w:color="BFC9C0"/>
              <w:bottom w:val="single" w:sz="2" w:space="0" w:color="BFC9C0"/>
              <w:right w:val="single" w:sz="2" w:space="0" w:color="BFC9C0"/>
            </w:tcBorders>
            <w:shd w:val="clear" w:color="auto" w:fill="EEF3F1"/>
          </w:tcPr>
          <w:p w14:paraId="1CDC146A" w14:textId="77777777" w:rsidR="00CD5946" w:rsidRDefault="00000000">
            <w:pPr>
              <w:spacing w:line="276" w:lineRule="auto"/>
            </w:pPr>
            <w:r>
              <w:rPr>
                <w:color w:val="1A1A1A"/>
                <w:sz w:val="18"/>
                <w:szCs w:val="18"/>
              </w:rPr>
              <w:t>Ch.2</w:t>
            </w:r>
          </w:p>
        </w:tc>
        <w:tc>
          <w:tcPr>
            <w:tcW w:w="1300" w:type="dxa"/>
            <w:tcBorders>
              <w:top w:val="single" w:sz="2" w:space="0" w:color="BFC9C0"/>
              <w:left w:val="single" w:sz="2" w:space="0" w:color="BFC9C0"/>
              <w:bottom w:val="single" w:sz="2" w:space="0" w:color="BFC9C0"/>
              <w:right w:val="single" w:sz="2" w:space="0" w:color="BFC9C0"/>
            </w:tcBorders>
            <w:shd w:val="clear" w:color="auto" w:fill="EEF3F1"/>
          </w:tcPr>
          <w:p w14:paraId="4207E034" w14:textId="77777777" w:rsidR="00CD5946" w:rsidRDefault="00000000">
            <w:pPr>
              <w:spacing w:line="276" w:lineRule="auto"/>
            </w:pPr>
            <w:r>
              <w:rPr>
                <w:color w:val="1A1A1A"/>
                <w:sz w:val="18"/>
                <w:szCs w:val="18"/>
              </w:rPr>
              <w:t>211(B)</w:t>
            </w:r>
          </w:p>
        </w:tc>
        <w:tc>
          <w:tcPr>
            <w:tcW w:w="1404" w:type="dxa"/>
            <w:tcBorders>
              <w:top w:val="single" w:sz="2" w:space="0" w:color="BFC9C0"/>
              <w:left w:val="single" w:sz="2" w:space="0" w:color="BFC9C0"/>
              <w:bottom w:val="single" w:sz="2" w:space="0" w:color="BFC9C0"/>
              <w:right w:val="single" w:sz="2" w:space="0" w:color="BFC9C0"/>
            </w:tcBorders>
            <w:shd w:val="clear" w:color="auto" w:fill="EEF3F1"/>
          </w:tcPr>
          <w:p w14:paraId="4330FF7C" w14:textId="77777777" w:rsidR="00CD5946" w:rsidRDefault="00000000">
            <w:pPr>
              <w:spacing w:line="276" w:lineRule="auto"/>
            </w:pPr>
            <w:r>
              <w:rPr>
                <w:color w:val="1A1A1A"/>
                <w:sz w:val="18"/>
                <w:szCs w:val="18"/>
              </w:rPr>
              <w:t>TRS 986</w:t>
            </w:r>
          </w:p>
        </w:tc>
        <w:tc>
          <w:tcPr>
            <w:tcW w:w="2560" w:type="dxa"/>
            <w:tcBorders>
              <w:top w:val="single" w:sz="2" w:space="0" w:color="BFC9C0"/>
              <w:left w:val="single" w:sz="2" w:space="0" w:color="BFC9C0"/>
              <w:bottom w:val="single" w:sz="2" w:space="0" w:color="BFC9C0"/>
              <w:right w:val="single" w:sz="2" w:space="0" w:color="BFC9C0"/>
            </w:tcBorders>
            <w:shd w:val="clear" w:color="auto" w:fill="EEF3F1"/>
          </w:tcPr>
          <w:p w14:paraId="49C614A8" w14:textId="77777777" w:rsidR="00CD5946" w:rsidRDefault="00000000">
            <w:pPr>
              <w:spacing w:line="276" w:lineRule="auto"/>
            </w:pPr>
            <w:r>
              <w:rPr>
                <w:color w:val="1A1A1A"/>
                <w:sz w:val="18"/>
                <w:szCs w:val="18"/>
              </w:rPr>
              <w:t>PE 009</w:t>
            </w:r>
          </w:p>
        </w:tc>
      </w:tr>
      <w:tr w:rsidR="00CD5946" w14:paraId="2C7B900E"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35177D0F" w14:textId="77777777" w:rsidR="00CD5946" w:rsidRDefault="00000000">
            <w:pPr>
              <w:spacing w:line="276" w:lineRule="auto"/>
            </w:pPr>
            <w:r>
              <w:rPr>
                <w:color w:val="1A1A1A"/>
                <w:sz w:val="18"/>
                <w:szCs w:val="18"/>
              </w:rPr>
              <w:t>Ch.3 Premises &amp; Equipment</w:t>
            </w:r>
          </w:p>
        </w:tc>
        <w:tc>
          <w:tcPr>
            <w:tcW w:w="1496" w:type="dxa"/>
            <w:tcBorders>
              <w:top w:val="single" w:sz="2" w:space="0" w:color="BFC9C0"/>
              <w:left w:val="single" w:sz="2" w:space="0" w:color="BFC9C0"/>
              <w:bottom w:val="single" w:sz="2" w:space="0" w:color="BFC9C0"/>
              <w:right w:val="single" w:sz="2" w:space="0" w:color="BFC9C0"/>
            </w:tcBorders>
            <w:shd w:val="clear" w:color="auto" w:fill="FFFFFF"/>
          </w:tcPr>
          <w:p w14:paraId="61258489" w14:textId="77777777" w:rsidR="00CD5946" w:rsidRDefault="00000000">
            <w:pPr>
              <w:spacing w:line="276" w:lineRule="auto"/>
            </w:pPr>
            <w:r>
              <w:rPr>
                <w:color w:val="1A1A1A"/>
                <w:sz w:val="18"/>
                <w:szCs w:val="18"/>
              </w:rPr>
              <w:t>Ch.3 · Annex 15</w:t>
            </w:r>
          </w:p>
        </w:tc>
        <w:tc>
          <w:tcPr>
            <w:tcW w:w="1300" w:type="dxa"/>
            <w:tcBorders>
              <w:top w:val="single" w:sz="2" w:space="0" w:color="BFC9C0"/>
              <w:left w:val="single" w:sz="2" w:space="0" w:color="BFC9C0"/>
              <w:bottom w:val="single" w:sz="2" w:space="0" w:color="BFC9C0"/>
              <w:right w:val="single" w:sz="2" w:space="0" w:color="BFC9C0"/>
            </w:tcBorders>
            <w:shd w:val="clear" w:color="auto" w:fill="FFFFFF"/>
          </w:tcPr>
          <w:p w14:paraId="775A5EAC" w14:textId="77777777" w:rsidR="00CD5946" w:rsidRDefault="00000000">
            <w:pPr>
              <w:spacing w:line="276" w:lineRule="auto"/>
            </w:pPr>
            <w:r>
              <w:rPr>
                <w:color w:val="1A1A1A"/>
                <w:sz w:val="18"/>
                <w:szCs w:val="18"/>
              </w:rPr>
              <w:t>211(C–D)</w:t>
            </w:r>
          </w:p>
        </w:tc>
        <w:tc>
          <w:tcPr>
            <w:tcW w:w="1404" w:type="dxa"/>
            <w:tcBorders>
              <w:top w:val="single" w:sz="2" w:space="0" w:color="BFC9C0"/>
              <w:left w:val="single" w:sz="2" w:space="0" w:color="BFC9C0"/>
              <w:bottom w:val="single" w:sz="2" w:space="0" w:color="BFC9C0"/>
              <w:right w:val="single" w:sz="2" w:space="0" w:color="BFC9C0"/>
            </w:tcBorders>
            <w:shd w:val="clear" w:color="auto" w:fill="FFFFFF"/>
          </w:tcPr>
          <w:p w14:paraId="60EEE3B2" w14:textId="77777777" w:rsidR="00CD5946" w:rsidRDefault="00000000">
            <w:pPr>
              <w:spacing w:line="276" w:lineRule="auto"/>
            </w:pPr>
            <w:r>
              <w:rPr>
                <w:color w:val="1A1A1A"/>
                <w:sz w:val="18"/>
                <w:szCs w:val="18"/>
              </w:rPr>
              <w:t>TRS 986</w:t>
            </w:r>
          </w:p>
        </w:tc>
        <w:tc>
          <w:tcPr>
            <w:tcW w:w="2560" w:type="dxa"/>
            <w:tcBorders>
              <w:top w:val="single" w:sz="2" w:space="0" w:color="BFC9C0"/>
              <w:left w:val="single" w:sz="2" w:space="0" w:color="BFC9C0"/>
              <w:bottom w:val="single" w:sz="2" w:space="0" w:color="BFC9C0"/>
              <w:right w:val="single" w:sz="2" w:space="0" w:color="BFC9C0"/>
            </w:tcBorders>
            <w:shd w:val="clear" w:color="auto" w:fill="FFFFFF"/>
          </w:tcPr>
          <w:p w14:paraId="47A1FD34" w14:textId="77777777" w:rsidR="00CD5946" w:rsidRDefault="00000000">
            <w:pPr>
              <w:spacing w:line="276" w:lineRule="auto"/>
            </w:pPr>
            <w:r>
              <w:rPr>
                <w:color w:val="1A1A1A"/>
                <w:sz w:val="18"/>
                <w:szCs w:val="18"/>
              </w:rPr>
              <w:t>PE 009 · ISO 14644</w:t>
            </w:r>
          </w:p>
        </w:tc>
      </w:tr>
      <w:tr w:rsidR="00CD5946" w14:paraId="74B6144B" w14:textId="77777777">
        <w:tc>
          <w:tcPr>
            <w:tcW w:w="2600" w:type="dxa"/>
            <w:tcBorders>
              <w:top w:val="single" w:sz="2" w:space="0" w:color="BFC9C0"/>
              <w:left w:val="single" w:sz="2" w:space="0" w:color="BFC9C0"/>
              <w:bottom w:val="single" w:sz="2" w:space="0" w:color="BFC9C0"/>
              <w:right w:val="single" w:sz="2" w:space="0" w:color="BFC9C0"/>
            </w:tcBorders>
            <w:shd w:val="clear" w:color="auto" w:fill="EEF3F1"/>
          </w:tcPr>
          <w:p w14:paraId="1B522C99" w14:textId="77777777" w:rsidR="00CD5946" w:rsidRDefault="00000000">
            <w:pPr>
              <w:spacing w:line="276" w:lineRule="auto"/>
            </w:pPr>
            <w:r>
              <w:rPr>
                <w:color w:val="1A1A1A"/>
                <w:sz w:val="18"/>
                <w:szCs w:val="18"/>
              </w:rPr>
              <w:t>Ch.4 Documentation / DI</w:t>
            </w:r>
          </w:p>
        </w:tc>
        <w:tc>
          <w:tcPr>
            <w:tcW w:w="1496" w:type="dxa"/>
            <w:tcBorders>
              <w:top w:val="single" w:sz="2" w:space="0" w:color="BFC9C0"/>
              <w:left w:val="single" w:sz="2" w:space="0" w:color="BFC9C0"/>
              <w:bottom w:val="single" w:sz="2" w:space="0" w:color="BFC9C0"/>
              <w:right w:val="single" w:sz="2" w:space="0" w:color="BFC9C0"/>
            </w:tcBorders>
            <w:shd w:val="clear" w:color="auto" w:fill="EEF3F1"/>
          </w:tcPr>
          <w:p w14:paraId="3A85B64F" w14:textId="77777777" w:rsidR="00CD5946" w:rsidRDefault="00000000">
            <w:pPr>
              <w:spacing w:line="276" w:lineRule="auto"/>
            </w:pPr>
            <w:r>
              <w:rPr>
                <w:color w:val="1A1A1A"/>
                <w:sz w:val="18"/>
                <w:szCs w:val="18"/>
              </w:rPr>
              <w:t>Ch.4</w:t>
            </w:r>
          </w:p>
        </w:tc>
        <w:tc>
          <w:tcPr>
            <w:tcW w:w="1300" w:type="dxa"/>
            <w:tcBorders>
              <w:top w:val="single" w:sz="2" w:space="0" w:color="BFC9C0"/>
              <w:left w:val="single" w:sz="2" w:space="0" w:color="BFC9C0"/>
              <w:bottom w:val="single" w:sz="2" w:space="0" w:color="BFC9C0"/>
              <w:right w:val="single" w:sz="2" w:space="0" w:color="BFC9C0"/>
            </w:tcBorders>
            <w:shd w:val="clear" w:color="auto" w:fill="EEF3F1"/>
          </w:tcPr>
          <w:p w14:paraId="36AFCE8A" w14:textId="77777777" w:rsidR="00CD5946" w:rsidRDefault="00000000">
            <w:pPr>
              <w:spacing w:line="276" w:lineRule="auto"/>
            </w:pPr>
            <w:r>
              <w:rPr>
                <w:color w:val="1A1A1A"/>
                <w:sz w:val="18"/>
                <w:szCs w:val="18"/>
              </w:rPr>
              <w:t>211(J) · Part 11</w:t>
            </w:r>
          </w:p>
        </w:tc>
        <w:tc>
          <w:tcPr>
            <w:tcW w:w="1404" w:type="dxa"/>
            <w:tcBorders>
              <w:top w:val="single" w:sz="2" w:space="0" w:color="BFC9C0"/>
              <w:left w:val="single" w:sz="2" w:space="0" w:color="BFC9C0"/>
              <w:bottom w:val="single" w:sz="2" w:space="0" w:color="BFC9C0"/>
              <w:right w:val="single" w:sz="2" w:space="0" w:color="BFC9C0"/>
            </w:tcBorders>
            <w:shd w:val="clear" w:color="auto" w:fill="EEF3F1"/>
          </w:tcPr>
          <w:p w14:paraId="119355CF" w14:textId="77777777" w:rsidR="00CD5946" w:rsidRDefault="00000000">
            <w:pPr>
              <w:spacing w:line="276" w:lineRule="auto"/>
            </w:pPr>
            <w:r>
              <w:rPr>
                <w:color w:val="1A1A1A"/>
                <w:sz w:val="18"/>
                <w:szCs w:val="18"/>
              </w:rPr>
              <w:t>TRS 1033 An.4</w:t>
            </w:r>
          </w:p>
        </w:tc>
        <w:tc>
          <w:tcPr>
            <w:tcW w:w="2560" w:type="dxa"/>
            <w:tcBorders>
              <w:top w:val="single" w:sz="2" w:space="0" w:color="BFC9C0"/>
              <w:left w:val="single" w:sz="2" w:space="0" w:color="BFC9C0"/>
              <w:bottom w:val="single" w:sz="2" w:space="0" w:color="BFC9C0"/>
              <w:right w:val="single" w:sz="2" w:space="0" w:color="BFC9C0"/>
            </w:tcBorders>
            <w:shd w:val="clear" w:color="auto" w:fill="EEF3F1"/>
          </w:tcPr>
          <w:p w14:paraId="5C4F9939" w14:textId="77777777" w:rsidR="00CD5946" w:rsidRDefault="00000000">
            <w:pPr>
              <w:spacing w:line="276" w:lineRule="auto"/>
            </w:pPr>
            <w:r>
              <w:rPr>
                <w:color w:val="1A1A1A"/>
                <w:sz w:val="18"/>
                <w:szCs w:val="18"/>
              </w:rPr>
              <w:t>PIC/S PI 041-1</w:t>
            </w:r>
          </w:p>
        </w:tc>
      </w:tr>
      <w:tr w:rsidR="00CD5946" w14:paraId="4CA6F56D"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0835735E" w14:textId="77777777" w:rsidR="00CD5946" w:rsidRDefault="00000000">
            <w:pPr>
              <w:spacing w:line="276" w:lineRule="auto"/>
            </w:pPr>
            <w:r>
              <w:rPr>
                <w:color w:val="1A1A1A"/>
                <w:sz w:val="18"/>
                <w:szCs w:val="18"/>
              </w:rPr>
              <w:t>Ch.5 Production</w:t>
            </w:r>
          </w:p>
        </w:tc>
        <w:tc>
          <w:tcPr>
            <w:tcW w:w="1496" w:type="dxa"/>
            <w:tcBorders>
              <w:top w:val="single" w:sz="2" w:space="0" w:color="BFC9C0"/>
              <w:left w:val="single" w:sz="2" w:space="0" w:color="BFC9C0"/>
              <w:bottom w:val="single" w:sz="2" w:space="0" w:color="BFC9C0"/>
              <w:right w:val="single" w:sz="2" w:space="0" w:color="BFC9C0"/>
            </w:tcBorders>
            <w:shd w:val="clear" w:color="auto" w:fill="FFFFFF"/>
          </w:tcPr>
          <w:p w14:paraId="059782D7" w14:textId="77777777" w:rsidR="00CD5946" w:rsidRDefault="00000000">
            <w:pPr>
              <w:spacing w:line="276" w:lineRule="auto"/>
            </w:pPr>
            <w:r>
              <w:rPr>
                <w:color w:val="1A1A1A"/>
                <w:sz w:val="18"/>
                <w:szCs w:val="18"/>
              </w:rPr>
              <w:t>Ch.5 · Annex 15</w:t>
            </w:r>
          </w:p>
        </w:tc>
        <w:tc>
          <w:tcPr>
            <w:tcW w:w="1300" w:type="dxa"/>
            <w:tcBorders>
              <w:top w:val="single" w:sz="2" w:space="0" w:color="BFC9C0"/>
              <w:left w:val="single" w:sz="2" w:space="0" w:color="BFC9C0"/>
              <w:bottom w:val="single" w:sz="2" w:space="0" w:color="BFC9C0"/>
              <w:right w:val="single" w:sz="2" w:space="0" w:color="BFC9C0"/>
            </w:tcBorders>
            <w:shd w:val="clear" w:color="auto" w:fill="FFFFFF"/>
          </w:tcPr>
          <w:p w14:paraId="20833398" w14:textId="77777777" w:rsidR="00CD5946" w:rsidRDefault="00000000">
            <w:pPr>
              <w:spacing w:line="276" w:lineRule="auto"/>
            </w:pPr>
            <w:r>
              <w:rPr>
                <w:color w:val="1A1A1A"/>
                <w:sz w:val="18"/>
                <w:szCs w:val="18"/>
              </w:rPr>
              <w:t>211(F)</w:t>
            </w:r>
          </w:p>
        </w:tc>
        <w:tc>
          <w:tcPr>
            <w:tcW w:w="1404" w:type="dxa"/>
            <w:tcBorders>
              <w:top w:val="single" w:sz="2" w:space="0" w:color="BFC9C0"/>
              <w:left w:val="single" w:sz="2" w:space="0" w:color="BFC9C0"/>
              <w:bottom w:val="single" w:sz="2" w:space="0" w:color="BFC9C0"/>
              <w:right w:val="single" w:sz="2" w:space="0" w:color="BFC9C0"/>
            </w:tcBorders>
            <w:shd w:val="clear" w:color="auto" w:fill="FFFFFF"/>
          </w:tcPr>
          <w:p w14:paraId="645F1E9D" w14:textId="77777777" w:rsidR="00CD5946" w:rsidRDefault="00000000">
            <w:pPr>
              <w:spacing w:line="276" w:lineRule="auto"/>
            </w:pPr>
            <w:r>
              <w:rPr>
                <w:color w:val="1A1A1A"/>
                <w:sz w:val="18"/>
                <w:szCs w:val="18"/>
              </w:rPr>
              <w:t>TRS 986</w:t>
            </w:r>
          </w:p>
        </w:tc>
        <w:tc>
          <w:tcPr>
            <w:tcW w:w="2560" w:type="dxa"/>
            <w:tcBorders>
              <w:top w:val="single" w:sz="2" w:space="0" w:color="BFC9C0"/>
              <w:left w:val="single" w:sz="2" w:space="0" w:color="BFC9C0"/>
              <w:bottom w:val="single" w:sz="2" w:space="0" w:color="BFC9C0"/>
              <w:right w:val="single" w:sz="2" w:space="0" w:color="BFC9C0"/>
            </w:tcBorders>
            <w:shd w:val="clear" w:color="auto" w:fill="FFFFFF"/>
          </w:tcPr>
          <w:p w14:paraId="3026696B" w14:textId="77777777" w:rsidR="00CD5946" w:rsidRDefault="00000000">
            <w:pPr>
              <w:spacing w:line="276" w:lineRule="auto"/>
            </w:pPr>
            <w:r>
              <w:rPr>
                <w:color w:val="1A1A1A"/>
                <w:sz w:val="18"/>
                <w:szCs w:val="18"/>
              </w:rPr>
              <w:t>EMA HBEL · ICH Q9</w:t>
            </w:r>
          </w:p>
        </w:tc>
      </w:tr>
      <w:tr w:rsidR="00CD5946" w14:paraId="182D837C" w14:textId="77777777">
        <w:tc>
          <w:tcPr>
            <w:tcW w:w="2600" w:type="dxa"/>
            <w:tcBorders>
              <w:top w:val="single" w:sz="2" w:space="0" w:color="BFC9C0"/>
              <w:left w:val="single" w:sz="2" w:space="0" w:color="BFC9C0"/>
              <w:bottom w:val="single" w:sz="2" w:space="0" w:color="BFC9C0"/>
              <w:right w:val="single" w:sz="2" w:space="0" w:color="BFC9C0"/>
            </w:tcBorders>
            <w:shd w:val="clear" w:color="auto" w:fill="EEF3F1"/>
          </w:tcPr>
          <w:p w14:paraId="3C224258" w14:textId="77777777" w:rsidR="00CD5946" w:rsidRDefault="00000000">
            <w:pPr>
              <w:spacing w:line="276" w:lineRule="auto"/>
            </w:pPr>
            <w:r>
              <w:rPr>
                <w:color w:val="1A1A1A"/>
                <w:sz w:val="18"/>
                <w:szCs w:val="18"/>
              </w:rPr>
              <w:t>Ch.6 Quality Control</w:t>
            </w:r>
          </w:p>
        </w:tc>
        <w:tc>
          <w:tcPr>
            <w:tcW w:w="1496" w:type="dxa"/>
            <w:tcBorders>
              <w:top w:val="single" w:sz="2" w:space="0" w:color="BFC9C0"/>
              <w:left w:val="single" w:sz="2" w:space="0" w:color="BFC9C0"/>
              <w:bottom w:val="single" w:sz="2" w:space="0" w:color="BFC9C0"/>
              <w:right w:val="single" w:sz="2" w:space="0" w:color="BFC9C0"/>
            </w:tcBorders>
            <w:shd w:val="clear" w:color="auto" w:fill="EEF3F1"/>
          </w:tcPr>
          <w:p w14:paraId="09580B74" w14:textId="77777777" w:rsidR="00CD5946" w:rsidRDefault="00000000">
            <w:pPr>
              <w:spacing w:line="276" w:lineRule="auto"/>
            </w:pPr>
            <w:r>
              <w:rPr>
                <w:color w:val="1A1A1A"/>
                <w:sz w:val="18"/>
                <w:szCs w:val="18"/>
              </w:rPr>
              <w:t>Ch.6</w:t>
            </w:r>
          </w:p>
        </w:tc>
        <w:tc>
          <w:tcPr>
            <w:tcW w:w="1300" w:type="dxa"/>
            <w:tcBorders>
              <w:top w:val="single" w:sz="2" w:space="0" w:color="BFC9C0"/>
              <w:left w:val="single" w:sz="2" w:space="0" w:color="BFC9C0"/>
              <w:bottom w:val="single" w:sz="2" w:space="0" w:color="BFC9C0"/>
              <w:right w:val="single" w:sz="2" w:space="0" w:color="BFC9C0"/>
            </w:tcBorders>
            <w:shd w:val="clear" w:color="auto" w:fill="EEF3F1"/>
          </w:tcPr>
          <w:p w14:paraId="11BC20AF" w14:textId="77777777" w:rsidR="00CD5946" w:rsidRDefault="00000000">
            <w:pPr>
              <w:spacing w:line="276" w:lineRule="auto"/>
            </w:pPr>
            <w:r>
              <w:rPr>
                <w:color w:val="1A1A1A"/>
                <w:sz w:val="18"/>
                <w:szCs w:val="18"/>
              </w:rPr>
              <w:t>211(I) · OOS 2022</w:t>
            </w:r>
          </w:p>
        </w:tc>
        <w:tc>
          <w:tcPr>
            <w:tcW w:w="1404" w:type="dxa"/>
            <w:tcBorders>
              <w:top w:val="single" w:sz="2" w:space="0" w:color="BFC9C0"/>
              <w:left w:val="single" w:sz="2" w:space="0" w:color="BFC9C0"/>
              <w:bottom w:val="single" w:sz="2" w:space="0" w:color="BFC9C0"/>
              <w:right w:val="single" w:sz="2" w:space="0" w:color="BFC9C0"/>
            </w:tcBorders>
            <w:shd w:val="clear" w:color="auto" w:fill="EEF3F1"/>
          </w:tcPr>
          <w:p w14:paraId="793E8E3F" w14:textId="77777777" w:rsidR="00CD5946" w:rsidRDefault="00000000">
            <w:pPr>
              <w:spacing w:line="276" w:lineRule="auto"/>
            </w:pPr>
            <w:r>
              <w:rPr>
                <w:color w:val="1A1A1A"/>
                <w:sz w:val="18"/>
                <w:szCs w:val="18"/>
              </w:rPr>
              <w:t>TRS 986</w:t>
            </w:r>
          </w:p>
        </w:tc>
        <w:tc>
          <w:tcPr>
            <w:tcW w:w="2560" w:type="dxa"/>
            <w:tcBorders>
              <w:top w:val="single" w:sz="2" w:space="0" w:color="BFC9C0"/>
              <w:left w:val="single" w:sz="2" w:space="0" w:color="BFC9C0"/>
              <w:bottom w:val="single" w:sz="2" w:space="0" w:color="BFC9C0"/>
              <w:right w:val="single" w:sz="2" w:space="0" w:color="BFC9C0"/>
            </w:tcBorders>
            <w:shd w:val="clear" w:color="auto" w:fill="EEF3F1"/>
          </w:tcPr>
          <w:p w14:paraId="6FE3FB53" w14:textId="77777777" w:rsidR="00CD5946" w:rsidRDefault="00000000">
            <w:pPr>
              <w:spacing w:line="276" w:lineRule="auto"/>
            </w:pPr>
            <w:r>
              <w:rPr>
                <w:color w:val="1A1A1A"/>
                <w:sz w:val="18"/>
                <w:szCs w:val="18"/>
              </w:rPr>
              <w:t>ICH Q2(R2)/Q14/Q1A</w:t>
            </w:r>
          </w:p>
        </w:tc>
      </w:tr>
      <w:tr w:rsidR="00CD5946" w14:paraId="448DFB79"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2519E7EB" w14:textId="77777777" w:rsidR="00CD5946" w:rsidRDefault="00000000">
            <w:pPr>
              <w:spacing w:line="276" w:lineRule="auto"/>
            </w:pPr>
            <w:r>
              <w:rPr>
                <w:color w:val="1A1A1A"/>
                <w:sz w:val="18"/>
                <w:szCs w:val="18"/>
              </w:rPr>
              <w:t>Ch.7 Outsourcing</w:t>
            </w:r>
          </w:p>
        </w:tc>
        <w:tc>
          <w:tcPr>
            <w:tcW w:w="1496" w:type="dxa"/>
            <w:tcBorders>
              <w:top w:val="single" w:sz="2" w:space="0" w:color="BFC9C0"/>
              <w:left w:val="single" w:sz="2" w:space="0" w:color="BFC9C0"/>
              <w:bottom w:val="single" w:sz="2" w:space="0" w:color="BFC9C0"/>
              <w:right w:val="single" w:sz="2" w:space="0" w:color="BFC9C0"/>
            </w:tcBorders>
            <w:shd w:val="clear" w:color="auto" w:fill="FFFFFF"/>
          </w:tcPr>
          <w:p w14:paraId="6DE2DADD" w14:textId="77777777" w:rsidR="00CD5946" w:rsidRDefault="00000000">
            <w:pPr>
              <w:spacing w:line="276" w:lineRule="auto"/>
            </w:pPr>
            <w:r>
              <w:rPr>
                <w:color w:val="1A1A1A"/>
                <w:sz w:val="18"/>
                <w:szCs w:val="18"/>
              </w:rPr>
              <w:t>Ch.7</w:t>
            </w:r>
          </w:p>
        </w:tc>
        <w:tc>
          <w:tcPr>
            <w:tcW w:w="1300" w:type="dxa"/>
            <w:tcBorders>
              <w:top w:val="single" w:sz="2" w:space="0" w:color="BFC9C0"/>
              <w:left w:val="single" w:sz="2" w:space="0" w:color="BFC9C0"/>
              <w:bottom w:val="single" w:sz="2" w:space="0" w:color="BFC9C0"/>
              <w:right w:val="single" w:sz="2" w:space="0" w:color="BFC9C0"/>
            </w:tcBorders>
            <w:shd w:val="clear" w:color="auto" w:fill="FFFFFF"/>
          </w:tcPr>
          <w:p w14:paraId="32F34ED7" w14:textId="77777777" w:rsidR="00CD5946" w:rsidRDefault="00000000">
            <w:pPr>
              <w:spacing w:line="276" w:lineRule="auto"/>
            </w:pPr>
            <w:r>
              <w:rPr>
                <w:color w:val="1A1A1A"/>
                <w:sz w:val="18"/>
                <w:szCs w:val="18"/>
              </w:rPr>
              <w:t>211</w:t>
            </w:r>
          </w:p>
        </w:tc>
        <w:tc>
          <w:tcPr>
            <w:tcW w:w="1404" w:type="dxa"/>
            <w:tcBorders>
              <w:top w:val="single" w:sz="2" w:space="0" w:color="BFC9C0"/>
              <w:left w:val="single" w:sz="2" w:space="0" w:color="BFC9C0"/>
              <w:bottom w:val="single" w:sz="2" w:space="0" w:color="BFC9C0"/>
              <w:right w:val="single" w:sz="2" w:space="0" w:color="BFC9C0"/>
            </w:tcBorders>
            <w:shd w:val="clear" w:color="auto" w:fill="FFFFFF"/>
          </w:tcPr>
          <w:p w14:paraId="3B246001" w14:textId="77777777" w:rsidR="00CD5946" w:rsidRDefault="00000000">
            <w:pPr>
              <w:spacing w:line="276" w:lineRule="auto"/>
            </w:pPr>
            <w:r>
              <w:rPr>
                <w:color w:val="1A1A1A"/>
                <w:sz w:val="18"/>
                <w:szCs w:val="18"/>
              </w:rPr>
              <w:t>TRS 986</w:t>
            </w:r>
          </w:p>
        </w:tc>
        <w:tc>
          <w:tcPr>
            <w:tcW w:w="2560" w:type="dxa"/>
            <w:tcBorders>
              <w:top w:val="single" w:sz="2" w:space="0" w:color="BFC9C0"/>
              <w:left w:val="single" w:sz="2" w:space="0" w:color="BFC9C0"/>
              <w:bottom w:val="single" w:sz="2" w:space="0" w:color="BFC9C0"/>
              <w:right w:val="single" w:sz="2" w:space="0" w:color="BFC9C0"/>
            </w:tcBorders>
            <w:shd w:val="clear" w:color="auto" w:fill="FFFFFF"/>
          </w:tcPr>
          <w:p w14:paraId="7D83CE4A" w14:textId="77777777" w:rsidR="00CD5946" w:rsidRDefault="00000000">
            <w:pPr>
              <w:spacing w:line="276" w:lineRule="auto"/>
            </w:pPr>
            <w:r>
              <w:rPr>
                <w:color w:val="1A1A1A"/>
                <w:sz w:val="18"/>
                <w:szCs w:val="18"/>
              </w:rPr>
              <w:t>PE 009</w:t>
            </w:r>
          </w:p>
        </w:tc>
      </w:tr>
      <w:tr w:rsidR="00CD5946" w14:paraId="68FBD9D8" w14:textId="77777777">
        <w:tc>
          <w:tcPr>
            <w:tcW w:w="2600" w:type="dxa"/>
            <w:tcBorders>
              <w:top w:val="single" w:sz="2" w:space="0" w:color="BFC9C0"/>
              <w:left w:val="single" w:sz="2" w:space="0" w:color="BFC9C0"/>
              <w:bottom w:val="single" w:sz="2" w:space="0" w:color="BFC9C0"/>
              <w:right w:val="single" w:sz="2" w:space="0" w:color="BFC9C0"/>
            </w:tcBorders>
            <w:shd w:val="clear" w:color="auto" w:fill="EEF3F1"/>
          </w:tcPr>
          <w:p w14:paraId="15F51DE9" w14:textId="77777777" w:rsidR="00CD5946" w:rsidRDefault="00000000">
            <w:pPr>
              <w:spacing w:line="276" w:lineRule="auto"/>
            </w:pPr>
            <w:r>
              <w:rPr>
                <w:color w:val="1A1A1A"/>
                <w:sz w:val="18"/>
                <w:szCs w:val="18"/>
              </w:rPr>
              <w:t>Ch.8 Complaints/Recall</w:t>
            </w:r>
          </w:p>
        </w:tc>
        <w:tc>
          <w:tcPr>
            <w:tcW w:w="1496" w:type="dxa"/>
            <w:tcBorders>
              <w:top w:val="single" w:sz="2" w:space="0" w:color="BFC9C0"/>
              <w:left w:val="single" w:sz="2" w:space="0" w:color="BFC9C0"/>
              <w:bottom w:val="single" w:sz="2" w:space="0" w:color="BFC9C0"/>
              <w:right w:val="single" w:sz="2" w:space="0" w:color="BFC9C0"/>
            </w:tcBorders>
            <w:shd w:val="clear" w:color="auto" w:fill="EEF3F1"/>
          </w:tcPr>
          <w:p w14:paraId="77893C06" w14:textId="77777777" w:rsidR="00CD5946" w:rsidRDefault="00000000">
            <w:pPr>
              <w:spacing w:line="276" w:lineRule="auto"/>
            </w:pPr>
            <w:r>
              <w:rPr>
                <w:color w:val="1A1A1A"/>
                <w:sz w:val="18"/>
                <w:szCs w:val="18"/>
              </w:rPr>
              <w:t>Ch.8</w:t>
            </w:r>
          </w:p>
        </w:tc>
        <w:tc>
          <w:tcPr>
            <w:tcW w:w="1300" w:type="dxa"/>
            <w:tcBorders>
              <w:top w:val="single" w:sz="2" w:space="0" w:color="BFC9C0"/>
              <w:left w:val="single" w:sz="2" w:space="0" w:color="BFC9C0"/>
              <w:bottom w:val="single" w:sz="2" w:space="0" w:color="BFC9C0"/>
              <w:right w:val="single" w:sz="2" w:space="0" w:color="BFC9C0"/>
            </w:tcBorders>
            <w:shd w:val="clear" w:color="auto" w:fill="EEF3F1"/>
          </w:tcPr>
          <w:p w14:paraId="66D09DD9" w14:textId="77777777" w:rsidR="00CD5946" w:rsidRDefault="00000000">
            <w:pPr>
              <w:spacing w:line="276" w:lineRule="auto"/>
            </w:pPr>
            <w:r>
              <w:rPr>
                <w:color w:val="1A1A1A"/>
                <w:sz w:val="18"/>
                <w:szCs w:val="18"/>
              </w:rPr>
              <w:t>211(J)</w:t>
            </w:r>
          </w:p>
        </w:tc>
        <w:tc>
          <w:tcPr>
            <w:tcW w:w="1404" w:type="dxa"/>
            <w:tcBorders>
              <w:top w:val="single" w:sz="2" w:space="0" w:color="BFC9C0"/>
              <w:left w:val="single" w:sz="2" w:space="0" w:color="BFC9C0"/>
              <w:bottom w:val="single" w:sz="2" w:space="0" w:color="BFC9C0"/>
              <w:right w:val="single" w:sz="2" w:space="0" w:color="BFC9C0"/>
            </w:tcBorders>
            <w:shd w:val="clear" w:color="auto" w:fill="EEF3F1"/>
          </w:tcPr>
          <w:p w14:paraId="6C448EC8" w14:textId="77777777" w:rsidR="00CD5946" w:rsidRDefault="00000000">
            <w:pPr>
              <w:spacing w:line="276" w:lineRule="auto"/>
            </w:pPr>
            <w:r>
              <w:rPr>
                <w:color w:val="1A1A1A"/>
                <w:sz w:val="18"/>
                <w:szCs w:val="18"/>
              </w:rPr>
              <w:t>TRS 986</w:t>
            </w:r>
          </w:p>
        </w:tc>
        <w:tc>
          <w:tcPr>
            <w:tcW w:w="2560" w:type="dxa"/>
            <w:tcBorders>
              <w:top w:val="single" w:sz="2" w:space="0" w:color="BFC9C0"/>
              <w:left w:val="single" w:sz="2" w:space="0" w:color="BFC9C0"/>
              <w:bottom w:val="single" w:sz="2" w:space="0" w:color="BFC9C0"/>
              <w:right w:val="single" w:sz="2" w:space="0" w:color="BFC9C0"/>
            </w:tcBorders>
            <w:shd w:val="clear" w:color="auto" w:fill="EEF3F1"/>
          </w:tcPr>
          <w:p w14:paraId="1D267FA7" w14:textId="77777777" w:rsidR="00CD5946" w:rsidRDefault="00000000">
            <w:pPr>
              <w:spacing w:line="276" w:lineRule="auto"/>
            </w:pPr>
            <w:r>
              <w:rPr>
                <w:color w:val="1A1A1A"/>
                <w:sz w:val="18"/>
                <w:szCs w:val="18"/>
              </w:rPr>
              <w:t>PE 009</w:t>
            </w:r>
          </w:p>
        </w:tc>
      </w:tr>
      <w:tr w:rsidR="00CD5946" w14:paraId="48C1AA10"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20E12BCE" w14:textId="77777777" w:rsidR="00CD5946" w:rsidRDefault="00000000">
            <w:pPr>
              <w:spacing w:line="276" w:lineRule="auto"/>
            </w:pPr>
            <w:r>
              <w:rPr>
                <w:color w:val="1A1A1A"/>
                <w:sz w:val="18"/>
                <w:szCs w:val="18"/>
              </w:rPr>
              <w:t>Ch.9 Self-Inspection</w:t>
            </w:r>
          </w:p>
        </w:tc>
        <w:tc>
          <w:tcPr>
            <w:tcW w:w="1496" w:type="dxa"/>
            <w:tcBorders>
              <w:top w:val="single" w:sz="2" w:space="0" w:color="BFC9C0"/>
              <w:left w:val="single" w:sz="2" w:space="0" w:color="BFC9C0"/>
              <w:bottom w:val="single" w:sz="2" w:space="0" w:color="BFC9C0"/>
              <w:right w:val="single" w:sz="2" w:space="0" w:color="BFC9C0"/>
            </w:tcBorders>
            <w:shd w:val="clear" w:color="auto" w:fill="FFFFFF"/>
          </w:tcPr>
          <w:p w14:paraId="795A4CBB" w14:textId="77777777" w:rsidR="00CD5946" w:rsidRDefault="00000000">
            <w:pPr>
              <w:spacing w:line="276" w:lineRule="auto"/>
            </w:pPr>
            <w:r>
              <w:rPr>
                <w:color w:val="1A1A1A"/>
                <w:sz w:val="18"/>
                <w:szCs w:val="18"/>
              </w:rPr>
              <w:t>Ch.9</w:t>
            </w:r>
          </w:p>
        </w:tc>
        <w:tc>
          <w:tcPr>
            <w:tcW w:w="1300" w:type="dxa"/>
            <w:tcBorders>
              <w:top w:val="single" w:sz="2" w:space="0" w:color="BFC9C0"/>
              <w:left w:val="single" w:sz="2" w:space="0" w:color="BFC9C0"/>
              <w:bottom w:val="single" w:sz="2" w:space="0" w:color="BFC9C0"/>
              <w:right w:val="single" w:sz="2" w:space="0" w:color="BFC9C0"/>
            </w:tcBorders>
            <w:shd w:val="clear" w:color="auto" w:fill="FFFFFF"/>
          </w:tcPr>
          <w:p w14:paraId="183EAC67" w14:textId="77777777" w:rsidR="00CD5946" w:rsidRDefault="00000000">
            <w:pPr>
              <w:spacing w:line="276" w:lineRule="auto"/>
            </w:pPr>
            <w:r>
              <w:rPr>
                <w:color w:val="1A1A1A"/>
                <w:sz w:val="18"/>
                <w:szCs w:val="18"/>
              </w:rPr>
              <w:t>—</w:t>
            </w:r>
          </w:p>
        </w:tc>
        <w:tc>
          <w:tcPr>
            <w:tcW w:w="1404" w:type="dxa"/>
            <w:tcBorders>
              <w:top w:val="single" w:sz="2" w:space="0" w:color="BFC9C0"/>
              <w:left w:val="single" w:sz="2" w:space="0" w:color="BFC9C0"/>
              <w:bottom w:val="single" w:sz="2" w:space="0" w:color="BFC9C0"/>
              <w:right w:val="single" w:sz="2" w:space="0" w:color="BFC9C0"/>
            </w:tcBorders>
            <w:shd w:val="clear" w:color="auto" w:fill="FFFFFF"/>
          </w:tcPr>
          <w:p w14:paraId="3768B8AB" w14:textId="77777777" w:rsidR="00CD5946" w:rsidRDefault="00000000">
            <w:pPr>
              <w:spacing w:line="276" w:lineRule="auto"/>
            </w:pPr>
            <w:r>
              <w:rPr>
                <w:color w:val="1A1A1A"/>
                <w:sz w:val="18"/>
                <w:szCs w:val="18"/>
              </w:rPr>
              <w:t>TRS 986</w:t>
            </w:r>
          </w:p>
        </w:tc>
        <w:tc>
          <w:tcPr>
            <w:tcW w:w="2560" w:type="dxa"/>
            <w:tcBorders>
              <w:top w:val="single" w:sz="2" w:space="0" w:color="BFC9C0"/>
              <w:left w:val="single" w:sz="2" w:space="0" w:color="BFC9C0"/>
              <w:bottom w:val="single" w:sz="2" w:space="0" w:color="BFC9C0"/>
              <w:right w:val="single" w:sz="2" w:space="0" w:color="BFC9C0"/>
            </w:tcBorders>
            <w:shd w:val="clear" w:color="auto" w:fill="FFFFFF"/>
          </w:tcPr>
          <w:p w14:paraId="47815C60" w14:textId="77777777" w:rsidR="00CD5946" w:rsidRDefault="00000000">
            <w:pPr>
              <w:spacing w:line="276" w:lineRule="auto"/>
            </w:pPr>
            <w:r>
              <w:rPr>
                <w:color w:val="1A1A1A"/>
                <w:sz w:val="18"/>
                <w:szCs w:val="18"/>
              </w:rPr>
              <w:t>PE 009</w:t>
            </w:r>
          </w:p>
        </w:tc>
      </w:tr>
      <w:tr w:rsidR="00CD5946" w14:paraId="425C94C5" w14:textId="77777777">
        <w:tc>
          <w:tcPr>
            <w:tcW w:w="2600" w:type="dxa"/>
            <w:tcBorders>
              <w:top w:val="single" w:sz="2" w:space="0" w:color="BFC9C0"/>
              <w:left w:val="single" w:sz="2" w:space="0" w:color="BFC9C0"/>
              <w:bottom w:val="single" w:sz="2" w:space="0" w:color="BFC9C0"/>
              <w:right w:val="single" w:sz="2" w:space="0" w:color="BFC9C0"/>
            </w:tcBorders>
            <w:shd w:val="clear" w:color="auto" w:fill="EEF3F1"/>
          </w:tcPr>
          <w:p w14:paraId="48A603D3" w14:textId="77777777" w:rsidR="00CD5946" w:rsidRDefault="00000000">
            <w:pPr>
              <w:spacing w:line="276" w:lineRule="auto"/>
            </w:pPr>
            <w:r>
              <w:rPr>
                <w:color w:val="1A1A1A"/>
                <w:sz w:val="18"/>
                <w:szCs w:val="18"/>
              </w:rPr>
              <w:t>Part II APIs</w:t>
            </w:r>
          </w:p>
        </w:tc>
        <w:tc>
          <w:tcPr>
            <w:tcW w:w="1496" w:type="dxa"/>
            <w:tcBorders>
              <w:top w:val="single" w:sz="2" w:space="0" w:color="BFC9C0"/>
              <w:left w:val="single" w:sz="2" w:space="0" w:color="BFC9C0"/>
              <w:bottom w:val="single" w:sz="2" w:space="0" w:color="BFC9C0"/>
              <w:right w:val="single" w:sz="2" w:space="0" w:color="BFC9C0"/>
            </w:tcBorders>
            <w:shd w:val="clear" w:color="auto" w:fill="EEF3F1"/>
          </w:tcPr>
          <w:p w14:paraId="23ED9197" w14:textId="77777777" w:rsidR="00CD5946" w:rsidRDefault="00000000">
            <w:pPr>
              <w:spacing w:line="276" w:lineRule="auto"/>
            </w:pPr>
            <w:r>
              <w:rPr>
                <w:color w:val="1A1A1A"/>
                <w:sz w:val="18"/>
                <w:szCs w:val="18"/>
              </w:rPr>
              <w:t>Part II</w:t>
            </w:r>
          </w:p>
        </w:tc>
        <w:tc>
          <w:tcPr>
            <w:tcW w:w="1300" w:type="dxa"/>
            <w:tcBorders>
              <w:top w:val="single" w:sz="2" w:space="0" w:color="BFC9C0"/>
              <w:left w:val="single" w:sz="2" w:space="0" w:color="BFC9C0"/>
              <w:bottom w:val="single" w:sz="2" w:space="0" w:color="BFC9C0"/>
              <w:right w:val="single" w:sz="2" w:space="0" w:color="BFC9C0"/>
            </w:tcBorders>
            <w:shd w:val="clear" w:color="auto" w:fill="EEF3F1"/>
          </w:tcPr>
          <w:p w14:paraId="6BF722D2" w14:textId="77777777" w:rsidR="00CD5946" w:rsidRDefault="00000000">
            <w:pPr>
              <w:spacing w:line="276" w:lineRule="auto"/>
            </w:pPr>
            <w:r>
              <w:rPr>
                <w:color w:val="1A1A1A"/>
                <w:sz w:val="18"/>
                <w:szCs w:val="18"/>
              </w:rPr>
              <w:t>—</w:t>
            </w:r>
          </w:p>
        </w:tc>
        <w:tc>
          <w:tcPr>
            <w:tcW w:w="1404" w:type="dxa"/>
            <w:tcBorders>
              <w:top w:val="single" w:sz="2" w:space="0" w:color="BFC9C0"/>
              <w:left w:val="single" w:sz="2" w:space="0" w:color="BFC9C0"/>
              <w:bottom w:val="single" w:sz="2" w:space="0" w:color="BFC9C0"/>
              <w:right w:val="single" w:sz="2" w:space="0" w:color="BFC9C0"/>
            </w:tcBorders>
            <w:shd w:val="clear" w:color="auto" w:fill="EEF3F1"/>
          </w:tcPr>
          <w:p w14:paraId="02FFD1BF" w14:textId="77777777" w:rsidR="00CD5946" w:rsidRDefault="00000000">
            <w:pPr>
              <w:spacing w:line="276" w:lineRule="auto"/>
            </w:pPr>
            <w:r>
              <w:rPr>
                <w:color w:val="1A1A1A"/>
                <w:sz w:val="18"/>
                <w:szCs w:val="18"/>
              </w:rPr>
              <w:t>TRS 957</w:t>
            </w:r>
          </w:p>
        </w:tc>
        <w:tc>
          <w:tcPr>
            <w:tcW w:w="2560" w:type="dxa"/>
            <w:tcBorders>
              <w:top w:val="single" w:sz="2" w:space="0" w:color="BFC9C0"/>
              <w:left w:val="single" w:sz="2" w:space="0" w:color="BFC9C0"/>
              <w:bottom w:val="single" w:sz="2" w:space="0" w:color="BFC9C0"/>
              <w:right w:val="single" w:sz="2" w:space="0" w:color="BFC9C0"/>
            </w:tcBorders>
            <w:shd w:val="clear" w:color="auto" w:fill="EEF3F1"/>
          </w:tcPr>
          <w:p w14:paraId="2B1E3ED1" w14:textId="77777777" w:rsidR="00CD5946" w:rsidRDefault="00000000">
            <w:pPr>
              <w:spacing w:line="276" w:lineRule="auto"/>
            </w:pPr>
            <w:r>
              <w:rPr>
                <w:color w:val="1A1A1A"/>
                <w:sz w:val="18"/>
                <w:szCs w:val="18"/>
              </w:rPr>
              <w:t>ICH Q7</w:t>
            </w:r>
          </w:p>
        </w:tc>
      </w:tr>
      <w:tr w:rsidR="00CD5946" w14:paraId="47B3B517"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74C426ED" w14:textId="77777777" w:rsidR="00CD5946" w:rsidRDefault="00000000">
            <w:pPr>
              <w:spacing w:line="276" w:lineRule="auto"/>
            </w:pPr>
            <w:r>
              <w:rPr>
                <w:color w:val="1A1A1A"/>
                <w:sz w:val="18"/>
                <w:szCs w:val="18"/>
              </w:rPr>
              <w:t>Annexes 2B &amp; A-TBP — Biologicals</w:t>
            </w:r>
          </w:p>
        </w:tc>
        <w:tc>
          <w:tcPr>
            <w:tcW w:w="1496" w:type="dxa"/>
            <w:tcBorders>
              <w:top w:val="single" w:sz="2" w:space="0" w:color="BFC9C0"/>
              <w:left w:val="single" w:sz="2" w:space="0" w:color="BFC9C0"/>
              <w:bottom w:val="single" w:sz="2" w:space="0" w:color="BFC9C0"/>
              <w:right w:val="single" w:sz="2" w:space="0" w:color="BFC9C0"/>
            </w:tcBorders>
            <w:shd w:val="clear" w:color="auto" w:fill="FFFFFF"/>
          </w:tcPr>
          <w:p w14:paraId="24163860" w14:textId="77777777" w:rsidR="00CD5946" w:rsidRDefault="00000000">
            <w:pPr>
              <w:spacing w:line="276" w:lineRule="auto"/>
            </w:pPr>
            <w:r>
              <w:rPr>
                <w:color w:val="1A1A1A"/>
                <w:sz w:val="18"/>
                <w:szCs w:val="18"/>
              </w:rPr>
              <w:t>Annex 2</w:t>
            </w:r>
          </w:p>
        </w:tc>
        <w:tc>
          <w:tcPr>
            <w:tcW w:w="1300" w:type="dxa"/>
            <w:tcBorders>
              <w:top w:val="single" w:sz="2" w:space="0" w:color="BFC9C0"/>
              <w:left w:val="single" w:sz="2" w:space="0" w:color="BFC9C0"/>
              <w:bottom w:val="single" w:sz="2" w:space="0" w:color="BFC9C0"/>
              <w:right w:val="single" w:sz="2" w:space="0" w:color="BFC9C0"/>
            </w:tcBorders>
            <w:shd w:val="clear" w:color="auto" w:fill="FFFFFF"/>
          </w:tcPr>
          <w:p w14:paraId="037D9278" w14:textId="77777777" w:rsidR="00CD5946" w:rsidRDefault="00000000">
            <w:pPr>
              <w:spacing w:line="276" w:lineRule="auto"/>
            </w:pPr>
            <w:r>
              <w:rPr>
                <w:color w:val="1A1A1A"/>
                <w:sz w:val="18"/>
                <w:szCs w:val="18"/>
              </w:rPr>
              <w:t>BLA / 21 CFR 600s</w:t>
            </w:r>
          </w:p>
        </w:tc>
        <w:tc>
          <w:tcPr>
            <w:tcW w:w="1404" w:type="dxa"/>
            <w:tcBorders>
              <w:top w:val="single" w:sz="2" w:space="0" w:color="BFC9C0"/>
              <w:left w:val="single" w:sz="2" w:space="0" w:color="BFC9C0"/>
              <w:bottom w:val="single" w:sz="2" w:space="0" w:color="BFC9C0"/>
              <w:right w:val="single" w:sz="2" w:space="0" w:color="BFC9C0"/>
            </w:tcBorders>
            <w:shd w:val="clear" w:color="auto" w:fill="FFFFFF"/>
          </w:tcPr>
          <w:p w14:paraId="0368C609" w14:textId="77777777" w:rsidR="00CD5946" w:rsidRDefault="00000000">
            <w:pPr>
              <w:spacing w:line="276" w:lineRule="auto"/>
            </w:pPr>
            <w:r>
              <w:rPr>
                <w:color w:val="1A1A1A"/>
                <w:sz w:val="18"/>
                <w:szCs w:val="18"/>
              </w:rPr>
              <w:t>TRS</w:t>
            </w:r>
          </w:p>
        </w:tc>
        <w:tc>
          <w:tcPr>
            <w:tcW w:w="2560" w:type="dxa"/>
            <w:tcBorders>
              <w:top w:val="single" w:sz="2" w:space="0" w:color="BFC9C0"/>
              <w:left w:val="single" w:sz="2" w:space="0" w:color="BFC9C0"/>
              <w:bottom w:val="single" w:sz="2" w:space="0" w:color="BFC9C0"/>
              <w:right w:val="single" w:sz="2" w:space="0" w:color="BFC9C0"/>
            </w:tcBorders>
            <w:shd w:val="clear" w:color="auto" w:fill="FFFFFF"/>
          </w:tcPr>
          <w:p w14:paraId="658202D6" w14:textId="77777777" w:rsidR="00CD5946" w:rsidRDefault="00000000">
            <w:pPr>
              <w:spacing w:line="276" w:lineRule="auto"/>
            </w:pPr>
            <w:r>
              <w:rPr>
                <w:color w:val="1A1A1A"/>
                <w:sz w:val="18"/>
                <w:szCs w:val="18"/>
              </w:rPr>
              <w:t>ICH Q5A–E · Q6B · Q11</w:t>
            </w:r>
          </w:p>
        </w:tc>
      </w:tr>
      <w:tr w:rsidR="00CD5946" w14:paraId="6B17A3C4" w14:textId="77777777">
        <w:tc>
          <w:tcPr>
            <w:tcW w:w="2600" w:type="dxa"/>
            <w:tcBorders>
              <w:top w:val="single" w:sz="2" w:space="0" w:color="BFC9C0"/>
              <w:left w:val="single" w:sz="2" w:space="0" w:color="BFC9C0"/>
              <w:bottom w:val="single" w:sz="2" w:space="0" w:color="BFC9C0"/>
              <w:right w:val="single" w:sz="2" w:space="0" w:color="BFC9C0"/>
            </w:tcBorders>
            <w:shd w:val="clear" w:color="auto" w:fill="EEF3F1"/>
          </w:tcPr>
          <w:p w14:paraId="54371C08" w14:textId="77777777" w:rsidR="00CD5946" w:rsidRDefault="00000000">
            <w:pPr>
              <w:spacing w:line="276" w:lineRule="auto"/>
            </w:pPr>
            <w:r>
              <w:rPr>
                <w:color w:val="1A1A1A"/>
                <w:sz w:val="18"/>
                <w:szCs w:val="18"/>
              </w:rPr>
              <w:t>Biotech &amp; Biosimilars</w:t>
            </w:r>
          </w:p>
        </w:tc>
        <w:tc>
          <w:tcPr>
            <w:tcW w:w="1496" w:type="dxa"/>
            <w:tcBorders>
              <w:top w:val="single" w:sz="2" w:space="0" w:color="BFC9C0"/>
              <w:left w:val="single" w:sz="2" w:space="0" w:color="BFC9C0"/>
              <w:bottom w:val="single" w:sz="2" w:space="0" w:color="BFC9C0"/>
              <w:right w:val="single" w:sz="2" w:space="0" w:color="BFC9C0"/>
            </w:tcBorders>
            <w:shd w:val="clear" w:color="auto" w:fill="EEF3F1"/>
          </w:tcPr>
          <w:p w14:paraId="613B2F3A" w14:textId="77777777" w:rsidR="00CD5946" w:rsidRDefault="00000000">
            <w:pPr>
              <w:spacing w:line="276" w:lineRule="auto"/>
            </w:pPr>
            <w:r>
              <w:rPr>
                <w:color w:val="1A1A1A"/>
                <w:sz w:val="18"/>
                <w:szCs w:val="18"/>
              </w:rPr>
              <w:t>Annex 2 · A</w:t>
              <w:noBreakHyphen/>
              <w:t>BIO</w:t>
            </w:r>
          </w:p>
        </w:tc>
        <w:tc>
          <w:tcPr>
            <w:tcW w:w="1300" w:type="dxa"/>
            <w:tcBorders>
              <w:top w:val="single" w:sz="2" w:space="0" w:color="BFC9C0"/>
              <w:left w:val="single" w:sz="2" w:space="0" w:color="BFC9C0"/>
              <w:bottom w:val="single" w:sz="2" w:space="0" w:color="BFC9C0"/>
              <w:right w:val="single" w:sz="2" w:space="0" w:color="BFC9C0"/>
            </w:tcBorders>
            <w:shd w:val="clear" w:color="auto" w:fill="EEF3F1"/>
          </w:tcPr>
          <w:p w14:paraId="368FB97C" w14:textId="77777777" w:rsidR="00CD5946" w:rsidRDefault="00000000">
            <w:pPr>
              <w:spacing w:line="276" w:lineRule="auto"/>
            </w:pPr>
            <w:r>
              <w:rPr>
                <w:color w:val="1A1A1A"/>
                <w:sz w:val="18"/>
                <w:szCs w:val="18"/>
              </w:rPr>
              <w:t>BPCIA 351(k)</w:t>
            </w:r>
          </w:p>
        </w:tc>
        <w:tc>
          <w:tcPr>
            <w:tcW w:w="1404" w:type="dxa"/>
            <w:tcBorders>
              <w:top w:val="single" w:sz="2" w:space="0" w:color="BFC9C0"/>
              <w:left w:val="single" w:sz="2" w:space="0" w:color="BFC9C0"/>
              <w:bottom w:val="single" w:sz="2" w:space="0" w:color="BFC9C0"/>
              <w:right w:val="single" w:sz="2" w:space="0" w:color="BFC9C0"/>
            </w:tcBorders>
            <w:shd w:val="clear" w:color="auto" w:fill="EEF3F1"/>
          </w:tcPr>
          <w:p w14:paraId="42CB95B9" w14:textId="77777777" w:rsidR="00CD5946" w:rsidRDefault="00000000">
            <w:pPr>
              <w:spacing w:line="276" w:lineRule="auto"/>
            </w:pPr>
            <w:r>
              <w:rPr>
                <w:color w:val="1A1A1A"/>
                <w:sz w:val="18"/>
                <w:szCs w:val="18"/>
              </w:rPr>
              <w:t>TRS 1043 An.3</w:t>
            </w:r>
          </w:p>
        </w:tc>
        <w:tc>
          <w:tcPr>
            <w:tcW w:w="2560" w:type="dxa"/>
            <w:tcBorders>
              <w:top w:val="single" w:sz="2" w:space="0" w:color="BFC9C0"/>
              <w:left w:val="single" w:sz="2" w:space="0" w:color="BFC9C0"/>
              <w:bottom w:val="single" w:sz="2" w:space="0" w:color="BFC9C0"/>
              <w:right w:val="single" w:sz="2" w:space="0" w:color="BFC9C0"/>
            </w:tcBorders>
            <w:shd w:val="clear" w:color="auto" w:fill="EEF3F1"/>
          </w:tcPr>
          <w:p w14:paraId="173BC595" w14:textId="77777777" w:rsidR="00CD5946" w:rsidRDefault="00000000">
            <w:pPr>
              <w:spacing w:line="276" w:lineRule="auto"/>
            </w:pPr>
            <w:r>
              <w:rPr>
                <w:color w:val="1A1A1A"/>
                <w:sz w:val="18"/>
                <w:szCs w:val="18"/>
              </w:rPr>
              <w:t>ICH Q5E · WHO SBP · EMA</w:t>
            </w:r>
          </w:p>
        </w:tc>
      </w:tr>
      <w:tr w:rsidR="00CD5946" w14:paraId="435A8DC4"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04F290B7" w14:textId="77777777" w:rsidR="00CD5946" w:rsidRDefault="00000000">
            <w:pPr>
              <w:spacing w:line="276" w:lineRule="auto"/>
            </w:pPr>
            <w:r>
              <w:rPr>
                <w:color w:val="1A1A1A"/>
                <w:sz w:val="18"/>
                <w:szCs w:val="18"/>
              </w:rPr>
              <w:t>Annex 1 Sterile</w:t>
            </w:r>
          </w:p>
        </w:tc>
        <w:tc>
          <w:tcPr>
            <w:tcW w:w="1496" w:type="dxa"/>
            <w:tcBorders>
              <w:top w:val="single" w:sz="2" w:space="0" w:color="BFC9C0"/>
              <w:left w:val="single" w:sz="2" w:space="0" w:color="BFC9C0"/>
              <w:bottom w:val="single" w:sz="2" w:space="0" w:color="BFC9C0"/>
              <w:right w:val="single" w:sz="2" w:space="0" w:color="BFC9C0"/>
            </w:tcBorders>
            <w:shd w:val="clear" w:color="auto" w:fill="FFFFFF"/>
          </w:tcPr>
          <w:p w14:paraId="68A66F5B" w14:textId="77777777" w:rsidR="00CD5946" w:rsidRDefault="00000000">
            <w:pPr>
              <w:spacing w:line="276" w:lineRule="auto"/>
            </w:pPr>
            <w:r>
              <w:rPr>
                <w:color w:val="1A1A1A"/>
                <w:sz w:val="18"/>
                <w:szCs w:val="18"/>
              </w:rPr>
              <w:t>Annex 1 (2022)</w:t>
            </w:r>
          </w:p>
        </w:tc>
        <w:tc>
          <w:tcPr>
            <w:tcW w:w="1300" w:type="dxa"/>
            <w:tcBorders>
              <w:top w:val="single" w:sz="2" w:space="0" w:color="BFC9C0"/>
              <w:left w:val="single" w:sz="2" w:space="0" w:color="BFC9C0"/>
              <w:bottom w:val="single" w:sz="2" w:space="0" w:color="BFC9C0"/>
              <w:right w:val="single" w:sz="2" w:space="0" w:color="BFC9C0"/>
            </w:tcBorders>
            <w:shd w:val="clear" w:color="auto" w:fill="FFFFFF"/>
          </w:tcPr>
          <w:p w14:paraId="540ADCB6" w14:textId="77777777" w:rsidR="00CD5946" w:rsidRDefault="00000000">
            <w:pPr>
              <w:spacing w:line="276" w:lineRule="auto"/>
            </w:pPr>
            <w:r>
              <w:rPr>
                <w:color w:val="1A1A1A"/>
                <w:sz w:val="18"/>
                <w:szCs w:val="18"/>
              </w:rPr>
              <w:t>—</w:t>
            </w:r>
          </w:p>
        </w:tc>
        <w:tc>
          <w:tcPr>
            <w:tcW w:w="1404" w:type="dxa"/>
            <w:tcBorders>
              <w:top w:val="single" w:sz="2" w:space="0" w:color="BFC9C0"/>
              <w:left w:val="single" w:sz="2" w:space="0" w:color="BFC9C0"/>
              <w:bottom w:val="single" w:sz="2" w:space="0" w:color="BFC9C0"/>
              <w:right w:val="single" w:sz="2" w:space="0" w:color="BFC9C0"/>
            </w:tcBorders>
            <w:shd w:val="clear" w:color="auto" w:fill="FFFFFF"/>
          </w:tcPr>
          <w:p w14:paraId="3FC2061D" w14:textId="77777777" w:rsidR="00CD5946" w:rsidRDefault="00000000">
            <w:pPr>
              <w:spacing w:line="276" w:lineRule="auto"/>
            </w:pPr>
            <w:r>
              <w:rPr>
                <w:color w:val="1A1A1A"/>
                <w:sz w:val="18"/>
                <w:szCs w:val="18"/>
              </w:rPr>
              <w:t>TRS</w:t>
            </w:r>
          </w:p>
        </w:tc>
        <w:tc>
          <w:tcPr>
            <w:tcW w:w="2560" w:type="dxa"/>
            <w:tcBorders>
              <w:top w:val="single" w:sz="2" w:space="0" w:color="BFC9C0"/>
              <w:left w:val="single" w:sz="2" w:space="0" w:color="BFC9C0"/>
              <w:bottom w:val="single" w:sz="2" w:space="0" w:color="BFC9C0"/>
              <w:right w:val="single" w:sz="2" w:space="0" w:color="BFC9C0"/>
            </w:tcBorders>
            <w:shd w:val="clear" w:color="auto" w:fill="FFFFFF"/>
          </w:tcPr>
          <w:p w14:paraId="117151C4" w14:textId="77777777" w:rsidR="00CD5946" w:rsidRDefault="00000000">
            <w:pPr>
              <w:spacing w:line="276" w:lineRule="auto"/>
            </w:pPr>
            <w:r>
              <w:rPr>
                <w:color w:val="1A1A1A"/>
                <w:sz w:val="18"/>
                <w:szCs w:val="18"/>
              </w:rPr>
              <w:t>ISO 14644 · EN 285</w:t>
            </w:r>
          </w:p>
        </w:tc>
      </w:tr>
      <w:tr w:rsidR="00CD5946" w14:paraId="2809FD47" w14:textId="77777777">
        <w:tc>
          <w:tcPr>
            <w:tcW w:w="2600" w:type="dxa"/>
            <w:tcBorders>
              <w:top w:val="single" w:sz="2" w:space="0" w:color="BFC9C0"/>
              <w:left w:val="single" w:sz="2" w:space="0" w:color="BFC9C0"/>
              <w:bottom w:val="single" w:sz="2" w:space="0" w:color="BFC9C0"/>
              <w:right w:val="single" w:sz="2" w:space="0" w:color="BFC9C0"/>
            </w:tcBorders>
            <w:shd w:val="clear" w:color="auto" w:fill="EEF3F1"/>
          </w:tcPr>
          <w:p w14:paraId="03FD6F93" w14:textId="77777777" w:rsidR="00CD5946" w:rsidRDefault="00000000">
            <w:pPr>
              <w:spacing w:line="276" w:lineRule="auto"/>
            </w:pPr>
            <w:r>
              <w:rPr>
                <w:color w:val="1A1A1A"/>
                <w:sz w:val="18"/>
                <w:szCs w:val="18"/>
              </w:rPr>
              <w:t>Annex 11 / DI</w:t>
            </w:r>
          </w:p>
        </w:tc>
        <w:tc>
          <w:tcPr>
            <w:tcW w:w="1496" w:type="dxa"/>
            <w:tcBorders>
              <w:top w:val="single" w:sz="2" w:space="0" w:color="BFC9C0"/>
              <w:left w:val="single" w:sz="2" w:space="0" w:color="BFC9C0"/>
              <w:bottom w:val="single" w:sz="2" w:space="0" w:color="BFC9C0"/>
              <w:right w:val="single" w:sz="2" w:space="0" w:color="BFC9C0"/>
            </w:tcBorders>
            <w:shd w:val="clear" w:color="auto" w:fill="EEF3F1"/>
          </w:tcPr>
          <w:p w14:paraId="2CAE05F0" w14:textId="77777777" w:rsidR="00CD5946" w:rsidRDefault="00000000">
            <w:pPr>
              <w:spacing w:line="276" w:lineRule="auto"/>
            </w:pPr>
            <w:r>
              <w:rPr>
                <w:color w:val="1A1A1A"/>
                <w:sz w:val="18"/>
                <w:szCs w:val="18"/>
              </w:rPr>
              <w:t>Annex 11</w:t>
            </w:r>
          </w:p>
        </w:tc>
        <w:tc>
          <w:tcPr>
            <w:tcW w:w="1300" w:type="dxa"/>
            <w:tcBorders>
              <w:top w:val="single" w:sz="2" w:space="0" w:color="BFC9C0"/>
              <w:left w:val="single" w:sz="2" w:space="0" w:color="BFC9C0"/>
              <w:bottom w:val="single" w:sz="2" w:space="0" w:color="BFC9C0"/>
              <w:right w:val="single" w:sz="2" w:space="0" w:color="BFC9C0"/>
            </w:tcBorders>
            <w:shd w:val="clear" w:color="auto" w:fill="EEF3F1"/>
          </w:tcPr>
          <w:p w14:paraId="2B26901F" w14:textId="77777777" w:rsidR="00CD5946" w:rsidRDefault="00000000">
            <w:pPr>
              <w:spacing w:line="276" w:lineRule="auto"/>
            </w:pPr>
            <w:r>
              <w:rPr>
                <w:color w:val="1A1A1A"/>
                <w:sz w:val="18"/>
                <w:szCs w:val="18"/>
              </w:rPr>
              <w:t>Part 11</w:t>
            </w:r>
          </w:p>
        </w:tc>
        <w:tc>
          <w:tcPr>
            <w:tcW w:w="1404" w:type="dxa"/>
            <w:tcBorders>
              <w:top w:val="single" w:sz="2" w:space="0" w:color="BFC9C0"/>
              <w:left w:val="single" w:sz="2" w:space="0" w:color="BFC9C0"/>
              <w:bottom w:val="single" w:sz="2" w:space="0" w:color="BFC9C0"/>
              <w:right w:val="single" w:sz="2" w:space="0" w:color="BFC9C0"/>
            </w:tcBorders>
            <w:shd w:val="clear" w:color="auto" w:fill="EEF3F1"/>
          </w:tcPr>
          <w:p w14:paraId="0173B721" w14:textId="77777777" w:rsidR="00CD5946" w:rsidRDefault="00000000">
            <w:pPr>
              <w:spacing w:line="276" w:lineRule="auto"/>
            </w:pPr>
            <w:r>
              <w:rPr>
                <w:color w:val="1A1A1A"/>
                <w:sz w:val="18"/>
                <w:szCs w:val="18"/>
              </w:rPr>
              <w:t>TRS 1033 An.4</w:t>
            </w:r>
          </w:p>
        </w:tc>
        <w:tc>
          <w:tcPr>
            <w:tcW w:w="2560" w:type="dxa"/>
            <w:tcBorders>
              <w:top w:val="single" w:sz="2" w:space="0" w:color="BFC9C0"/>
              <w:left w:val="single" w:sz="2" w:space="0" w:color="BFC9C0"/>
              <w:bottom w:val="single" w:sz="2" w:space="0" w:color="BFC9C0"/>
              <w:right w:val="single" w:sz="2" w:space="0" w:color="BFC9C0"/>
            </w:tcBorders>
            <w:shd w:val="clear" w:color="auto" w:fill="EEF3F1"/>
          </w:tcPr>
          <w:p w14:paraId="4F451380" w14:textId="77777777" w:rsidR="00CD5946" w:rsidRDefault="00000000">
            <w:pPr>
              <w:spacing w:line="276" w:lineRule="auto"/>
            </w:pPr>
            <w:r>
              <w:rPr>
                <w:color w:val="1A1A1A"/>
                <w:sz w:val="18"/>
                <w:szCs w:val="18"/>
              </w:rPr>
              <w:t>PI 041-1 · GAMP 5</w:t>
            </w:r>
          </w:p>
        </w:tc>
      </w:tr>
      <w:tr w:rsidR="00CD5946" w14:paraId="075FED59"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224661B0" w14:textId="77777777" w:rsidR="00CD5946" w:rsidRDefault="00000000">
            <w:pPr>
              <w:spacing w:line="276" w:lineRule="auto"/>
            </w:pPr>
            <w:r>
              <w:rPr>
                <w:color w:val="1A1A1A"/>
                <w:sz w:val="18"/>
                <w:szCs w:val="18"/>
              </w:rPr>
              <w:t>Annex 15 Validation</w:t>
            </w:r>
          </w:p>
        </w:tc>
        <w:tc>
          <w:tcPr>
            <w:tcW w:w="1496" w:type="dxa"/>
            <w:tcBorders>
              <w:top w:val="single" w:sz="2" w:space="0" w:color="BFC9C0"/>
              <w:left w:val="single" w:sz="2" w:space="0" w:color="BFC9C0"/>
              <w:bottom w:val="single" w:sz="2" w:space="0" w:color="BFC9C0"/>
              <w:right w:val="single" w:sz="2" w:space="0" w:color="BFC9C0"/>
            </w:tcBorders>
            <w:shd w:val="clear" w:color="auto" w:fill="FFFFFF"/>
          </w:tcPr>
          <w:p w14:paraId="011E6F10" w14:textId="77777777" w:rsidR="00CD5946" w:rsidRDefault="00000000">
            <w:pPr>
              <w:spacing w:line="276" w:lineRule="auto"/>
            </w:pPr>
            <w:r>
              <w:rPr>
                <w:color w:val="1A1A1A"/>
                <w:sz w:val="18"/>
                <w:szCs w:val="18"/>
              </w:rPr>
              <w:t>Annex 15 (2015)</w:t>
            </w:r>
          </w:p>
        </w:tc>
        <w:tc>
          <w:tcPr>
            <w:tcW w:w="1300" w:type="dxa"/>
            <w:tcBorders>
              <w:top w:val="single" w:sz="2" w:space="0" w:color="BFC9C0"/>
              <w:left w:val="single" w:sz="2" w:space="0" w:color="BFC9C0"/>
              <w:bottom w:val="single" w:sz="2" w:space="0" w:color="BFC9C0"/>
              <w:right w:val="single" w:sz="2" w:space="0" w:color="BFC9C0"/>
            </w:tcBorders>
            <w:shd w:val="clear" w:color="auto" w:fill="FFFFFF"/>
          </w:tcPr>
          <w:p w14:paraId="07976F4A" w14:textId="77777777" w:rsidR="00CD5946" w:rsidRDefault="00000000">
            <w:pPr>
              <w:spacing w:line="276" w:lineRule="auto"/>
            </w:pPr>
            <w:r>
              <w:rPr>
                <w:color w:val="1A1A1A"/>
                <w:sz w:val="18"/>
                <w:szCs w:val="18"/>
              </w:rPr>
              <w:t>PV 2011</w:t>
            </w:r>
          </w:p>
        </w:tc>
        <w:tc>
          <w:tcPr>
            <w:tcW w:w="1404" w:type="dxa"/>
            <w:tcBorders>
              <w:top w:val="single" w:sz="2" w:space="0" w:color="BFC9C0"/>
              <w:left w:val="single" w:sz="2" w:space="0" w:color="BFC9C0"/>
              <w:bottom w:val="single" w:sz="2" w:space="0" w:color="BFC9C0"/>
              <w:right w:val="single" w:sz="2" w:space="0" w:color="BFC9C0"/>
            </w:tcBorders>
            <w:shd w:val="clear" w:color="auto" w:fill="FFFFFF"/>
          </w:tcPr>
          <w:p w14:paraId="57951F62" w14:textId="77777777" w:rsidR="00CD5946" w:rsidRDefault="00000000">
            <w:pPr>
              <w:spacing w:line="276" w:lineRule="auto"/>
            </w:pPr>
            <w:r>
              <w:rPr>
                <w:color w:val="1A1A1A"/>
                <w:sz w:val="18"/>
                <w:szCs w:val="18"/>
              </w:rPr>
              <w:t>TRS 1019 An.3</w:t>
            </w:r>
          </w:p>
        </w:tc>
        <w:tc>
          <w:tcPr>
            <w:tcW w:w="2560" w:type="dxa"/>
            <w:tcBorders>
              <w:top w:val="single" w:sz="2" w:space="0" w:color="BFC9C0"/>
              <w:left w:val="single" w:sz="2" w:space="0" w:color="BFC9C0"/>
              <w:bottom w:val="single" w:sz="2" w:space="0" w:color="BFC9C0"/>
              <w:right w:val="single" w:sz="2" w:space="0" w:color="BFC9C0"/>
            </w:tcBorders>
            <w:shd w:val="clear" w:color="auto" w:fill="FFFFFF"/>
          </w:tcPr>
          <w:p w14:paraId="0EE1CC1B" w14:textId="77777777" w:rsidR="00CD5946" w:rsidRDefault="00000000">
            <w:pPr>
              <w:spacing w:line="276" w:lineRule="auto"/>
            </w:pPr>
            <w:r>
              <w:rPr>
                <w:color w:val="1A1A1A"/>
                <w:sz w:val="18"/>
                <w:szCs w:val="18"/>
              </w:rPr>
              <w:t>ICH Q8–Q12</w:t>
            </w:r>
          </w:p>
        </w:tc>
      </w:tr>
      <w:tr w:rsidR="00CD5946" w14:paraId="3DD0A799" w14:textId="77777777">
        <w:tc>
          <w:tcPr>
            <w:tcW w:w="2600" w:type="dxa"/>
            <w:tcBorders>
              <w:top w:val="single" w:sz="2" w:space="0" w:color="BFC9C0"/>
              <w:left w:val="single" w:sz="2" w:space="0" w:color="BFC9C0"/>
              <w:bottom w:val="single" w:sz="2" w:space="0" w:color="BFC9C0"/>
              <w:right w:val="single" w:sz="2" w:space="0" w:color="BFC9C0"/>
            </w:tcBorders>
            <w:shd w:val="clear" w:color="auto" w:fill="EEF3F1"/>
          </w:tcPr>
          <w:p w14:paraId="06211207" w14:textId="77777777" w:rsidR="00CD5946" w:rsidRDefault="00000000">
            <w:pPr>
              <w:spacing w:line="276" w:lineRule="auto"/>
            </w:pPr>
            <w:r>
              <w:rPr>
                <w:color w:val="1A1A1A"/>
                <w:sz w:val="18"/>
                <w:szCs w:val="18"/>
              </w:rPr>
              <w:t>Water annex</w:t>
            </w:r>
          </w:p>
        </w:tc>
        <w:tc>
          <w:tcPr>
            <w:tcW w:w="1496" w:type="dxa"/>
            <w:tcBorders>
              <w:top w:val="single" w:sz="2" w:space="0" w:color="BFC9C0"/>
              <w:left w:val="single" w:sz="2" w:space="0" w:color="BFC9C0"/>
              <w:bottom w:val="single" w:sz="2" w:space="0" w:color="BFC9C0"/>
              <w:right w:val="single" w:sz="2" w:space="0" w:color="BFC9C0"/>
            </w:tcBorders>
            <w:shd w:val="clear" w:color="auto" w:fill="EEF3F1"/>
          </w:tcPr>
          <w:p w14:paraId="3DBD4DD7" w14:textId="77777777" w:rsidR="00CD5946" w:rsidRDefault="00000000">
            <w:pPr>
              <w:spacing w:line="276" w:lineRule="auto"/>
            </w:pPr>
            <w:r>
              <w:rPr>
                <w:color w:val="1A1A1A"/>
                <w:sz w:val="18"/>
                <w:szCs w:val="18"/>
              </w:rPr>
              <w:t>Annex 1</w:t>
            </w:r>
          </w:p>
        </w:tc>
        <w:tc>
          <w:tcPr>
            <w:tcW w:w="1300" w:type="dxa"/>
            <w:tcBorders>
              <w:top w:val="single" w:sz="2" w:space="0" w:color="BFC9C0"/>
              <w:left w:val="single" w:sz="2" w:space="0" w:color="BFC9C0"/>
              <w:bottom w:val="single" w:sz="2" w:space="0" w:color="BFC9C0"/>
              <w:right w:val="single" w:sz="2" w:space="0" w:color="BFC9C0"/>
            </w:tcBorders>
            <w:shd w:val="clear" w:color="auto" w:fill="EEF3F1"/>
          </w:tcPr>
          <w:p w14:paraId="22600CE5" w14:textId="77777777" w:rsidR="00CD5946" w:rsidRDefault="00000000">
            <w:pPr>
              <w:spacing w:line="276" w:lineRule="auto"/>
            </w:pPr>
            <w:r>
              <w:rPr>
                <w:color w:val="1A1A1A"/>
                <w:sz w:val="18"/>
                <w:szCs w:val="18"/>
              </w:rPr>
              <w:t>—</w:t>
            </w:r>
          </w:p>
        </w:tc>
        <w:tc>
          <w:tcPr>
            <w:tcW w:w="1404" w:type="dxa"/>
            <w:tcBorders>
              <w:top w:val="single" w:sz="2" w:space="0" w:color="BFC9C0"/>
              <w:left w:val="single" w:sz="2" w:space="0" w:color="BFC9C0"/>
              <w:bottom w:val="single" w:sz="2" w:space="0" w:color="BFC9C0"/>
              <w:right w:val="single" w:sz="2" w:space="0" w:color="BFC9C0"/>
            </w:tcBorders>
            <w:shd w:val="clear" w:color="auto" w:fill="EEF3F1"/>
          </w:tcPr>
          <w:p w14:paraId="59DB7439" w14:textId="77777777" w:rsidR="00CD5946" w:rsidRDefault="00000000">
            <w:pPr>
              <w:spacing w:line="276" w:lineRule="auto"/>
            </w:pPr>
            <w:r>
              <w:rPr>
                <w:color w:val="1A1A1A"/>
                <w:sz w:val="18"/>
                <w:szCs w:val="18"/>
              </w:rPr>
              <w:t>TRS 1033 An.3</w:t>
            </w:r>
          </w:p>
        </w:tc>
        <w:tc>
          <w:tcPr>
            <w:tcW w:w="2560" w:type="dxa"/>
            <w:tcBorders>
              <w:top w:val="single" w:sz="2" w:space="0" w:color="BFC9C0"/>
              <w:left w:val="single" w:sz="2" w:space="0" w:color="BFC9C0"/>
              <w:bottom w:val="single" w:sz="2" w:space="0" w:color="BFC9C0"/>
              <w:right w:val="single" w:sz="2" w:space="0" w:color="BFC9C0"/>
            </w:tcBorders>
            <w:shd w:val="clear" w:color="auto" w:fill="EEF3F1"/>
          </w:tcPr>
          <w:p w14:paraId="5306900A" w14:textId="77777777" w:rsidR="00CD5946" w:rsidRDefault="00000000">
            <w:pPr>
              <w:spacing w:line="276" w:lineRule="auto"/>
            </w:pPr>
            <w:r>
              <w:rPr>
                <w:color w:val="1A1A1A"/>
                <w:sz w:val="18"/>
                <w:szCs w:val="18"/>
              </w:rPr>
              <w:t>Ph.Eur./USP</w:t>
            </w:r>
          </w:p>
        </w:tc>
      </w:tr>
    </w:tbl>
    <w:p w14:paraId="08BA7BDE" w14:textId="77777777" w:rsidR="00CD5946" w:rsidRDefault="00000000">
      <w:r>
        <w:br w:type="page"/>
      </w:r>
    </w:p>
    <w:p w14:paraId="752E9A9C" w14:textId="77777777" w:rsidR="00CD5946" w:rsidRDefault="00000000">
      <w:pPr>
        <w:pStyle w:val="Heading1"/>
        <w:spacing w:before="0"/>
      </w:pPr>
      <w:bookmarkStart w:id="39" w:name="__RefHeading___Toc9229_1729075678"/>
      <w:bookmarkEnd w:id="39"/>
      <w:r>
        <w:lastRenderedPageBreak/>
        <w:t>4. Crosswalk — 2007 edition → 2026 edition</w:t>
      </w:r>
    </w:p>
    <w:p w14:paraId="17EE3DE6" w14:textId="77777777" w:rsidR="00CD5946" w:rsidRDefault="00000000">
      <w:pPr>
        <w:spacing w:line="276" w:lineRule="auto"/>
      </w:pPr>
      <w:r>
        <w:rPr>
          <w:color w:val="1A1A1A"/>
        </w:rPr>
        <w:t>How each chapter of the 2007 Arab GMP maps into the 2026 architecture, and its status.</w:t>
      </w:r>
    </w:p>
    <w:tbl>
      <w:tblPr>
        <w:tblW w:w="9360" w:type="dxa"/>
        <w:tblInd w:w="92" w:type="dxa"/>
        <w:tblLayout w:type="fixed"/>
        <w:tblCellMar>
          <w:top w:w="60" w:type="dxa"/>
          <w:left w:w="90" w:type="dxa"/>
          <w:bottom w:w="60" w:type="dxa"/>
          <w:right w:w="90" w:type="dxa"/>
        </w:tblCellMar>
        <w:tblLook w:val="0000" w:firstRow="0" w:lastRow="0" w:firstColumn="0" w:lastColumn="0" w:noHBand="0" w:noVBand="0"/>
      </w:tblPr>
      <w:tblGrid>
        <w:gridCol w:w="3200"/>
        <w:gridCol w:w="3600"/>
        <w:gridCol w:w="2560"/>
      </w:tblGrid>
      <w:tr w:rsidR="00CD5946" w14:paraId="1C9ED876" w14:textId="77777777">
        <w:trPr>
          <w:tblHeader/>
        </w:trPr>
        <w:tc>
          <w:tcPr>
            <w:tcW w:w="3200" w:type="dxa"/>
            <w:tcBorders>
              <w:top w:val="single" w:sz="2" w:space="0" w:color="BFC9C0"/>
              <w:left w:val="single" w:sz="2" w:space="0" w:color="BFC9C0"/>
              <w:bottom w:val="single" w:sz="2" w:space="0" w:color="BFC9C0"/>
              <w:right w:val="single" w:sz="2" w:space="0" w:color="BFC9C0"/>
            </w:tcBorders>
            <w:shd w:val="clear" w:color="auto" w:fill="0E5A50"/>
          </w:tcPr>
          <w:p w14:paraId="29C95156" w14:textId="77777777" w:rsidR="00CD5946" w:rsidRDefault="00000000">
            <w:pPr>
              <w:spacing w:line="276" w:lineRule="auto"/>
            </w:pPr>
            <w:r>
              <w:rPr>
                <w:b/>
                <w:bCs/>
                <w:color w:val="FFFFFF"/>
                <w:sz w:val="18"/>
                <w:szCs w:val="18"/>
              </w:rPr>
              <w:t>2007 chapter</w:t>
            </w:r>
          </w:p>
        </w:tc>
        <w:tc>
          <w:tcPr>
            <w:tcW w:w="3600" w:type="dxa"/>
            <w:tcBorders>
              <w:top w:val="single" w:sz="2" w:space="0" w:color="BFC9C0"/>
              <w:left w:val="single" w:sz="2" w:space="0" w:color="BFC9C0"/>
              <w:bottom w:val="single" w:sz="2" w:space="0" w:color="BFC9C0"/>
              <w:right w:val="single" w:sz="2" w:space="0" w:color="BFC9C0"/>
            </w:tcBorders>
            <w:shd w:val="clear" w:color="auto" w:fill="0E5A50"/>
          </w:tcPr>
          <w:p w14:paraId="2B420D3C" w14:textId="77777777" w:rsidR="00CD5946" w:rsidRDefault="00000000">
            <w:pPr>
              <w:spacing w:line="276" w:lineRule="auto"/>
            </w:pPr>
            <w:r>
              <w:rPr>
                <w:b/>
                <w:bCs/>
                <w:color w:val="FFFFFF"/>
                <w:sz w:val="18"/>
                <w:szCs w:val="18"/>
              </w:rPr>
              <w:t>2026 location</w:t>
            </w:r>
          </w:p>
        </w:tc>
        <w:tc>
          <w:tcPr>
            <w:tcW w:w="2560" w:type="dxa"/>
            <w:tcBorders>
              <w:top w:val="single" w:sz="2" w:space="0" w:color="BFC9C0"/>
              <w:left w:val="single" w:sz="2" w:space="0" w:color="BFC9C0"/>
              <w:bottom w:val="single" w:sz="2" w:space="0" w:color="BFC9C0"/>
              <w:right w:val="single" w:sz="2" w:space="0" w:color="BFC9C0"/>
            </w:tcBorders>
            <w:shd w:val="clear" w:color="auto" w:fill="0E5A50"/>
          </w:tcPr>
          <w:p w14:paraId="20028B18" w14:textId="77777777" w:rsidR="00CD5946" w:rsidRDefault="00000000">
            <w:pPr>
              <w:spacing w:line="276" w:lineRule="auto"/>
            </w:pPr>
            <w:r>
              <w:rPr>
                <w:b/>
                <w:bCs/>
                <w:color w:val="FFFFFF"/>
                <w:sz w:val="18"/>
                <w:szCs w:val="18"/>
              </w:rPr>
              <w:t>Status</w:t>
            </w:r>
          </w:p>
        </w:tc>
      </w:tr>
      <w:tr w:rsidR="00CD5946" w14:paraId="262E38D5" w14:textId="77777777">
        <w:tc>
          <w:tcPr>
            <w:tcW w:w="3200" w:type="dxa"/>
            <w:tcBorders>
              <w:top w:val="single" w:sz="2" w:space="0" w:color="BFC9C0"/>
              <w:left w:val="single" w:sz="2" w:space="0" w:color="BFC9C0"/>
              <w:bottom w:val="single" w:sz="2" w:space="0" w:color="BFC9C0"/>
              <w:right w:val="single" w:sz="2" w:space="0" w:color="BFC9C0"/>
            </w:tcBorders>
            <w:shd w:val="clear" w:color="auto" w:fill="FFFFFF"/>
          </w:tcPr>
          <w:p w14:paraId="14E2D7F3" w14:textId="77777777" w:rsidR="00CD5946" w:rsidRDefault="00000000">
            <w:pPr>
              <w:spacing w:line="276" w:lineRule="auto"/>
            </w:pPr>
            <w:r>
              <w:rPr>
                <w:color w:val="1A1A1A"/>
                <w:sz w:val="18"/>
                <w:szCs w:val="18"/>
              </w:rPr>
              <w:t>Preamble / Introduction / Definitions</w:t>
            </w:r>
          </w:p>
        </w:tc>
        <w:tc>
          <w:tcPr>
            <w:tcW w:w="3600" w:type="dxa"/>
            <w:tcBorders>
              <w:top w:val="single" w:sz="2" w:space="0" w:color="BFC9C0"/>
              <w:left w:val="single" w:sz="2" w:space="0" w:color="BFC9C0"/>
              <w:bottom w:val="single" w:sz="2" w:space="0" w:color="BFC9C0"/>
              <w:right w:val="single" w:sz="2" w:space="0" w:color="BFC9C0"/>
            </w:tcBorders>
            <w:shd w:val="clear" w:color="auto" w:fill="FFFFFF"/>
          </w:tcPr>
          <w:p w14:paraId="5D8337C7" w14:textId="77777777" w:rsidR="00CD5946" w:rsidRDefault="00000000">
            <w:pPr>
              <w:spacing w:line="276" w:lineRule="auto"/>
            </w:pPr>
            <w:r>
              <w:rPr>
                <w:color w:val="1A1A1A"/>
                <w:sz w:val="18"/>
                <w:szCs w:val="18"/>
              </w:rPr>
              <w:t>Foreword · Introduction · Glossary (Appendix C)</w:t>
            </w:r>
          </w:p>
        </w:tc>
        <w:tc>
          <w:tcPr>
            <w:tcW w:w="2560" w:type="dxa"/>
            <w:tcBorders>
              <w:top w:val="single" w:sz="2" w:space="0" w:color="BFC9C0"/>
              <w:left w:val="single" w:sz="2" w:space="0" w:color="BFC9C0"/>
              <w:bottom w:val="single" w:sz="2" w:space="0" w:color="BFC9C0"/>
              <w:right w:val="single" w:sz="2" w:space="0" w:color="BFC9C0"/>
            </w:tcBorders>
            <w:shd w:val="clear" w:color="auto" w:fill="FFFFFF"/>
          </w:tcPr>
          <w:p w14:paraId="0DFFB778" w14:textId="77777777" w:rsidR="00CD5946" w:rsidRDefault="00000000">
            <w:pPr>
              <w:spacing w:line="276" w:lineRule="auto"/>
            </w:pPr>
            <w:r>
              <w:rPr>
                <w:color w:val="1A1A1A"/>
                <w:sz w:val="18"/>
                <w:szCs w:val="18"/>
              </w:rPr>
              <w:t>Rewritten &amp; expanded</w:t>
            </w:r>
          </w:p>
        </w:tc>
      </w:tr>
      <w:tr w:rsidR="00CD5946" w14:paraId="73F7A128" w14:textId="77777777">
        <w:tc>
          <w:tcPr>
            <w:tcW w:w="3200" w:type="dxa"/>
            <w:tcBorders>
              <w:top w:val="single" w:sz="2" w:space="0" w:color="BFC9C0"/>
              <w:left w:val="single" w:sz="2" w:space="0" w:color="BFC9C0"/>
              <w:bottom w:val="single" w:sz="2" w:space="0" w:color="BFC9C0"/>
              <w:right w:val="single" w:sz="2" w:space="0" w:color="BFC9C0"/>
            </w:tcBorders>
            <w:shd w:val="clear" w:color="auto" w:fill="EEF3F1"/>
          </w:tcPr>
          <w:p w14:paraId="56470CBC" w14:textId="77777777" w:rsidR="00CD5946" w:rsidRDefault="00000000">
            <w:pPr>
              <w:spacing w:line="276" w:lineRule="auto"/>
            </w:pPr>
            <w:r>
              <w:rPr>
                <w:color w:val="1A1A1A"/>
                <w:sz w:val="18"/>
                <w:szCs w:val="18"/>
              </w:rPr>
              <w:t>1. Quality</w:t>
            </w:r>
          </w:p>
        </w:tc>
        <w:tc>
          <w:tcPr>
            <w:tcW w:w="3600" w:type="dxa"/>
            <w:tcBorders>
              <w:top w:val="single" w:sz="2" w:space="0" w:color="BFC9C0"/>
              <w:left w:val="single" w:sz="2" w:space="0" w:color="BFC9C0"/>
              <w:bottom w:val="single" w:sz="2" w:space="0" w:color="BFC9C0"/>
              <w:right w:val="single" w:sz="2" w:space="0" w:color="BFC9C0"/>
            </w:tcBorders>
            <w:shd w:val="clear" w:color="auto" w:fill="EEF3F1"/>
          </w:tcPr>
          <w:p w14:paraId="7EC05B77" w14:textId="77777777" w:rsidR="00CD5946" w:rsidRDefault="00000000">
            <w:pPr>
              <w:spacing w:line="276" w:lineRule="auto"/>
            </w:pPr>
            <w:r>
              <w:rPr>
                <w:color w:val="1A1A1A"/>
                <w:sz w:val="18"/>
                <w:szCs w:val="18"/>
              </w:rPr>
              <w:t>Part I Ch.1 — Pharmaceutical Quality System</w:t>
            </w:r>
          </w:p>
        </w:tc>
        <w:tc>
          <w:tcPr>
            <w:tcW w:w="2560" w:type="dxa"/>
            <w:tcBorders>
              <w:top w:val="single" w:sz="2" w:space="0" w:color="BFC9C0"/>
              <w:left w:val="single" w:sz="2" w:space="0" w:color="BFC9C0"/>
              <w:bottom w:val="single" w:sz="2" w:space="0" w:color="BFC9C0"/>
              <w:right w:val="single" w:sz="2" w:space="0" w:color="BFC9C0"/>
            </w:tcBorders>
            <w:shd w:val="clear" w:color="auto" w:fill="EEF3F1"/>
          </w:tcPr>
          <w:p w14:paraId="3481D5E6" w14:textId="77777777" w:rsidR="00CD5946" w:rsidRDefault="00000000">
            <w:pPr>
              <w:spacing w:line="276" w:lineRule="auto"/>
            </w:pPr>
            <w:r>
              <w:rPr>
                <w:color w:val="1A1A1A"/>
                <w:sz w:val="18"/>
                <w:szCs w:val="18"/>
              </w:rPr>
              <w:t>Modernised (ICH Q10)</w:t>
            </w:r>
          </w:p>
        </w:tc>
      </w:tr>
      <w:tr w:rsidR="00CD5946" w14:paraId="78F4F727" w14:textId="77777777">
        <w:tc>
          <w:tcPr>
            <w:tcW w:w="3200" w:type="dxa"/>
            <w:tcBorders>
              <w:top w:val="single" w:sz="2" w:space="0" w:color="BFC9C0"/>
              <w:left w:val="single" w:sz="2" w:space="0" w:color="BFC9C0"/>
              <w:bottom w:val="single" w:sz="2" w:space="0" w:color="BFC9C0"/>
              <w:right w:val="single" w:sz="2" w:space="0" w:color="BFC9C0"/>
            </w:tcBorders>
            <w:shd w:val="clear" w:color="auto" w:fill="FFFFFF"/>
          </w:tcPr>
          <w:p w14:paraId="7DEE7C1B" w14:textId="77777777" w:rsidR="00CD5946" w:rsidRDefault="00000000">
            <w:pPr>
              <w:spacing w:line="276" w:lineRule="auto"/>
            </w:pPr>
            <w:r>
              <w:rPr>
                <w:color w:val="1A1A1A"/>
                <w:sz w:val="18"/>
                <w:szCs w:val="18"/>
              </w:rPr>
              <w:t>2. Personnel</w:t>
            </w:r>
          </w:p>
        </w:tc>
        <w:tc>
          <w:tcPr>
            <w:tcW w:w="3600" w:type="dxa"/>
            <w:tcBorders>
              <w:top w:val="single" w:sz="2" w:space="0" w:color="BFC9C0"/>
              <w:left w:val="single" w:sz="2" w:space="0" w:color="BFC9C0"/>
              <w:bottom w:val="single" w:sz="2" w:space="0" w:color="BFC9C0"/>
              <w:right w:val="single" w:sz="2" w:space="0" w:color="BFC9C0"/>
            </w:tcBorders>
            <w:shd w:val="clear" w:color="auto" w:fill="FFFFFF"/>
          </w:tcPr>
          <w:p w14:paraId="411C0C53" w14:textId="77777777" w:rsidR="00CD5946" w:rsidRDefault="00000000">
            <w:pPr>
              <w:spacing w:line="276" w:lineRule="auto"/>
            </w:pPr>
            <w:r>
              <w:rPr>
                <w:color w:val="1A1A1A"/>
                <w:sz w:val="18"/>
                <w:szCs w:val="18"/>
              </w:rPr>
              <w:t>Part I Ch.2</w:t>
            </w:r>
          </w:p>
        </w:tc>
        <w:tc>
          <w:tcPr>
            <w:tcW w:w="2560" w:type="dxa"/>
            <w:tcBorders>
              <w:top w:val="single" w:sz="2" w:space="0" w:color="BFC9C0"/>
              <w:left w:val="single" w:sz="2" w:space="0" w:color="BFC9C0"/>
              <w:bottom w:val="single" w:sz="2" w:space="0" w:color="BFC9C0"/>
              <w:right w:val="single" w:sz="2" w:space="0" w:color="BFC9C0"/>
            </w:tcBorders>
            <w:shd w:val="clear" w:color="auto" w:fill="FFFFFF"/>
          </w:tcPr>
          <w:p w14:paraId="6C119102" w14:textId="77777777" w:rsidR="00CD5946" w:rsidRDefault="00000000">
            <w:pPr>
              <w:spacing w:line="276" w:lineRule="auto"/>
            </w:pPr>
            <w:r>
              <w:rPr>
                <w:color w:val="1A1A1A"/>
                <w:sz w:val="18"/>
                <w:szCs w:val="18"/>
              </w:rPr>
              <w:t>Expanded</w:t>
            </w:r>
          </w:p>
        </w:tc>
      </w:tr>
      <w:tr w:rsidR="00CD5946" w14:paraId="754305A5" w14:textId="77777777">
        <w:tc>
          <w:tcPr>
            <w:tcW w:w="3200" w:type="dxa"/>
            <w:tcBorders>
              <w:top w:val="single" w:sz="2" w:space="0" w:color="BFC9C0"/>
              <w:left w:val="single" w:sz="2" w:space="0" w:color="BFC9C0"/>
              <w:bottom w:val="single" w:sz="2" w:space="0" w:color="BFC9C0"/>
              <w:right w:val="single" w:sz="2" w:space="0" w:color="BFC9C0"/>
            </w:tcBorders>
            <w:shd w:val="clear" w:color="auto" w:fill="EEF3F1"/>
          </w:tcPr>
          <w:p w14:paraId="68BA9611" w14:textId="77777777" w:rsidR="00CD5946" w:rsidRDefault="00000000">
            <w:pPr>
              <w:spacing w:line="276" w:lineRule="auto"/>
            </w:pPr>
            <w:r>
              <w:rPr>
                <w:color w:val="1A1A1A"/>
                <w:sz w:val="18"/>
                <w:szCs w:val="18"/>
              </w:rPr>
              <w:t>3. Premises</w:t>
            </w:r>
          </w:p>
        </w:tc>
        <w:tc>
          <w:tcPr>
            <w:tcW w:w="3600" w:type="dxa"/>
            <w:tcBorders>
              <w:top w:val="single" w:sz="2" w:space="0" w:color="BFC9C0"/>
              <w:left w:val="single" w:sz="2" w:space="0" w:color="BFC9C0"/>
              <w:bottom w:val="single" w:sz="2" w:space="0" w:color="BFC9C0"/>
              <w:right w:val="single" w:sz="2" w:space="0" w:color="BFC9C0"/>
            </w:tcBorders>
            <w:shd w:val="clear" w:color="auto" w:fill="EEF3F1"/>
          </w:tcPr>
          <w:p w14:paraId="591BF09A" w14:textId="77777777" w:rsidR="00CD5946" w:rsidRDefault="00000000">
            <w:pPr>
              <w:spacing w:line="276" w:lineRule="auto"/>
            </w:pPr>
            <w:r>
              <w:rPr>
                <w:color w:val="1A1A1A"/>
                <w:sz w:val="18"/>
                <w:szCs w:val="18"/>
              </w:rPr>
              <w:t>Part I Ch.3 (Premises &amp; Equipment)</w:t>
            </w:r>
          </w:p>
        </w:tc>
        <w:tc>
          <w:tcPr>
            <w:tcW w:w="2560" w:type="dxa"/>
            <w:tcBorders>
              <w:top w:val="single" w:sz="2" w:space="0" w:color="BFC9C0"/>
              <w:left w:val="single" w:sz="2" w:space="0" w:color="BFC9C0"/>
              <w:bottom w:val="single" w:sz="2" w:space="0" w:color="BFC9C0"/>
              <w:right w:val="single" w:sz="2" w:space="0" w:color="BFC9C0"/>
            </w:tcBorders>
            <w:shd w:val="clear" w:color="auto" w:fill="EEF3F1"/>
          </w:tcPr>
          <w:p w14:paraId="1FEA2967" w14:textId="77777777" w:rsidR="00CD5946" w:rsidRDefault="00000000">
            <w:pPr>
              <w:spacing w:line="276" w:lineRule="auto"/>
            </w:pPr>
            <w:r>
              <w:rPr>
                <w:color w:val="1A1A1A"/>
                <w:sz w:val="18"/>
                <w:szCs w:val="18"/>
              </w:rPr>
              <w:t>Merged &amp; expanded</w:t>
            </w:r>
          </w:p>
        </w:tc>
      </w:tr>
      <w:tr w:rsidR="00CD5946" w14:paraId="7481A695" w14:textId="77777777">
        <w:tc>
          <w:tcPr>
            <w:tcW w:w="3200" w:type="dxa"/>
            <w:tcBorders>
              <w:top w:val="single" w:sz="2" w:space="0" w:color="BFC9C0"/>
              <w:left w:val="single" w:sz="2" w:space="0" w:color="BFC9C0"/>
              <w:bottom w:val="single" w:sz="2" w:space="0" w:color="BFC9C0"/>
              <w:right w:val="single" w:sz="2" w:space="0" w:color="BFC9C0"/>
            </w:tcBorders>
            <w:shd w:val="clear" w:color="auto" w:fill="FFFFFF"/>
          </w:tcPr>
          <w:p w14:paraId="273C71BF" w14:textId="77777777" w:rsidR="00CD5946" w:rsidRDefault="00000000">
            <w:pPr>
              <w:spacing w:line="276" w:lineRule="auto"/>
            </w:pPr>
            <w:r>
              <w:rPr>
                <w:color w:val="1A1A1A"/>
                <w:sz w:val="18"/>
                <w:szCs w:val="18"/>
              </w:rPr>
              <w:t>4. Equipment</w:t>
            </w:r>
          </w:p>
        </w:tc>
        <w:tc>
          <w:tcPr>
            <w:tcW w:w="3600" w:type="dxa"/>
            <w:tcBorders>
              <w:top w:val="single" w:sz="2" w:space="0" w:color="BFC9C0"/>
              <w:left w:val="single" w:sz="2" w:space="0" w:color="BFC9C0"/>
              <w:bottom w:val="single" w:sz="2" w:space="0" w:color="BFC9C0"/>
              <w:right w:val="single" w:sz="2" w:space="0" w:color="BFC9C0"/>
            </w:tcBorders>
            <w:shd w:val="clear" w:color="auto" w:fill="FFFFFF"/>
          </w:tcPr>
          <w:p w14:paraId="54E467F4" w14:textId="77777777" w:rsidR="00CD5946" w:rsidRDefault="00000000">
            <w:pPr>
              <w:spacing w:line="276" w:lineRule="auto"/>
            </w:pPr>
            <w:r>
              <w:rPr>
                <w:color w:val="1A1A1A"/>
                <w:sz w:val="18"/>
                <w:szCs w:val="18"/>
              </w:rPr>
              <w:t>Part I Ch.3 (Premises &amp; Equipment)</w:t>
            </w:r>
          </w:p>
        </w:tc>
        <w:tc>
          <w:tcPr>
            <w:tcW w:w="2560" w:type="dxa"/>
            <w:tcBorders>
              <w:top w:val="single" w:sz="2" w:space="0" w:color="BFC9C0"/>
              <w:left w:val="single" w:sz="2" w:space="0" w:color="BFC9C0"/>
              <w:bottom w:val="single" w:sz="2" w:space="0" w:color="BFC9C0"/>
              <w:right w:val="single" w:sz="2" w:space="0" w:color="BFC9C0"/>
            </w:tcBorders>
            <w:shd w:val="clear" w:color="auto" w:fill="FFFFFF"/>
          </w:tcPr>
          <w:p w14:paraId="5974E4FD" w14:textId="77777777" w:rsidR="00CD5946" w:rsidRDefault="00000000">
            <w:pPr>
              <w:spacing w:line="276" w:lineRule="auto"/>
            </w:pPr>
            <w:r>
              <w:rPr>
                <w:color w:val="1A1A1A"/>
                <w:sz w:val="18"/>
                <w:szCs w:val="18"/>
              </w:rPr>
              <w:t>Merged &amp; expanded</w:t>
            </w:r>
          </w:p>
        </w:tc>
      </w:tr>
      <w:tr w:rsidR="00CD5946" w14:paraId="5A960582" w14:textId="77777777">
        <w:tc>
          <w:tcPr>
            <w:tcW w:w="3200" w:type="dxa"/>
            <w:tcBorders>
              <w:top w:val="single" w:sz="2" w:space="0" w:color="BFC9C0"/>
              <w:left w:val="single" w:sz="2" w:space="0" w:color="BFC9C0"/>
              <w:bottom w:val="single" w:sz="2" w:space="0" w:color="BFC9C0"/>
              <w:right w:val="single" w:sz="2" w:space="0" w:color="BFC9C0"/>
            </w:tcBorders>
            <w:shd w:val="clear" w:color="auto" w:fill="EEF3F1"/>
          </w:tcPr>
          <w:p w14:paraId="2CE098D1" w14:textId="77777777" w:rsidR="00CD5946" w:rsidRDefault="00000000">
            <w:pPr>
              <w:spacing w:line="276" w:lineRule="auto"/>
            </w:pPr>
            <w:r>
              <w:rPr>
                <w:color w:val="1A1A1A"/>
                <w:sz w:val="18"/>
                <w:szCs w:val="18"/>
              </w:rPr>
              <w:t>5. Materials</w:t>
            </w:r>
          </w:p>
        </w:tc>
        <w:tc>
          <w:tcPr>
            <w:tcW w:w="3600" w:type="dxa"/>
            <w:tcBorders>
              <w:top w:val="single" w:sz="2" w:space="0" w:color="BFC9C0"/>
              <w:left w:val="single" w:sz="2" w:space="0" w:color="BFC9C0"/>
              <w:bottom w:val="single" w:sz="2" w:space="0" w:color="BFC9C0"/>
              <w:right w:val="single" w:sz="2" w:space="0" w:color="BFC9C0"/>
            </w:tcBorders>
            <w:shd w:val="clear" w:color="auto" w:fill="EEF3F1"/>
          </w:tcPr>
          <w:p w14:paraId="3F5358FA" w14:textId="77777777" w:rsidR="00CD5946" w:rsidRDefault="00000000">
            <w:pPr>
              <w:spacing w:line="276" w:lineRule="auto"/>
            </w:pPr>
            <w:r>
              <w:rPr>
                <w:color w:val="1A1A1A"/>
                <w:sz w:val="18"/>
                <w:szCs w:val="18"/>
              </w:rPr>
              <w:t>Part I Ch.5 (Production) + Annex 8 (sampling)</w:t>
            </w:r>
          </w:p>
        </w:tc>
        <w:tc>
          <w:tcPr>
            <w:tcW w:w="2560" w:type="dxa"/>
            <w:tcBorders>
              <w:top w:val="single" w:sz="2" w:space="0" w:color="BFC9C0"/>
              <w:left w:val="single" w:sz="2" w:space="0" w:color="BFC9C0"/>
              <w:bottom w:val="single" w:sz="2" w:space="0" w:color="BFC9C0"/>
              <w:right w:val="single" w:sz="2" w:space="0" w:color="BFC9C0"/>
            </w:tcBorders>
            <w:shd w:val="clear" w:color="auto" w:fill="EEF3F1"/>
          </w:tcPr>
          <w:p w14:paraId="7B893A7F" w14:textId="77777777" w:rsidR="00CD5946" w:rsidRDefault="00000000">
            <w:pPr>
              <w:spacing w:line="276" w:lineRule="auto"/>
            </w:pPr>
            <w:r>
              <w:rPr>
                <w:color w:val="1A1A1A"/>
                <w:sz w:val="18"/>
                <w:szCs w:val="18"/>
              </w:rPr>
              <w:t>Redistributed</w:t>
            </w:r>
          </w:p>
        </w:tc>
      </w:tr>
      <w:tr w:rsidR="00CD5946" w14:paraId="687B4058" w14:textId="77777777">
        <w:tc>
          <w:tcPr>
            <w:tcW w:w="3200" w:type="dxa"/>
            <w:tcBorders>
              <w:top w:val="single" w:sz="2" w:space="0" w:color="BFC9C0"/>
              <w:left w:val="single" w:sz="2" w:space="0" w:color="BFC9C0"/>
              <w:bottom w:val="single" w:sz="2" w:space="0" w:color="BFC9C0"/>
              <w:right w:val="single" w:sz="2" w:space="0" w:color="BFC9C0"/>
            </w:tcBorders>
            <w:shd w:val="clear" w:color="auto" w:fill="FFFFFF"/>
          </w:tcPr>
          <w:p w14:paraId="485E314E" w14:textId="77777777" w:rsidR="00CD5946" w:rsidRDefault="00000000">
            <w:pPr>
              <w:spacing w:line="276" w:lineRule="auto"/>
            </w:pPr>
            <w:r>
              <w:rPr>
                <w:color w:val="1A1A1A"/>
                <w:sz w:val="18"/>
                <w:szCs w:val="18"/>
              </w:rPr>
              <w:t>6. Validation</w:t>
            </w:r>
          </w:p>
        </w:tc>
        <w:tc>
          <w:tcPr>
            <w:tcW w:w="3600" w:type="dxa"/>
            <w:tcBorders>
              <w:top w:val="single" w:sz="2" w:space="0" w:color="BFC9C0"/>
              <w:left w:val="single" w:sz="2" w:space="0" w:color="BFC9C0"/>
              <w:bottom w:val="single" w:sz="2" w:space="0" w:color="BFC9C0"/>
              <w:right w:val="single" w:sz="2" w:space="0" w:color="BFC9C0"/>
            </w:tcBorders>
            <w:shd w:val="clear" w:color="auto" w:fill="FFFFFF"/>
          </w:tcPr>
          <w:p w14:paraId="60965872" w14:textId="77777777" w:rsidR="00CD5946" w:rsidRDefault="00000000">
            <w:pPr>
              <w:spacing w:line="276" w:lineRule="auto"/>
            </w:pPr>
            <w:r>
              <w:rPr>
                <w:color w:val="1A1A1A"/>
                <w:sz w:val="18"/>
                <w:szCs w:val="18"/>
              </w:rPr>
              <w:t>Annex 15 (Qualification &amp; Validation) + Ch.5</w:t>
            </w:r>
          </w:p>
        </w:tc>
        <w:tc>
          <w:tcPr>
            <w:tcW w:w="2560" w:type="dxa"/>
            <w:tcBorders>
              <w:top w:val="single" w:sz="2" w:space="0" w:color="BFC9C0"/>
              <w:left w:val="single" w:sz="2" w:space="0" w:color="BFC9C0"/>
              <w:bottom w:val="single" w:sz="2" w:space="0" w:color="BFC9C0"/>
              <w:right w:val="single" w:sz="2" w:space="0" w:color="BFC9C0"/>
            </w:tcBorders>
            <w:shd w:val="clear" w:color="auto" w:fill="FFFFFF"/>
          </w:tcPr>
          <w:p w14:paraId="02CC08D3" w14:textId="77777777" w:rsidR="00CD5946" w:rsidRDefault="00000000">
            <w:pPr>
              <w:spacing w:line="276" w:lineRule="auto"/>
            </w:pPr>
            <w:r>
              <w:rPr>
                <w:color w:val="1A1A1A"/>
                <w:sz w:val="18"/>
                <w:szCs w:val="18"/>
              </w:rPr>
              <w:t>Modernised (lifecycle)</w:t>
            </w:r>
          </w:p>
        </w:tc>
      </w:tr>
      <w:tr w:rsidR="00CD5946" w14:paraId="5288DAB3" w14:textId="77777777">
        <w:tc>
          <w:tcPr>
            <w:tcW w:w="3200" w:type="dxa"/>
            <w:tcBorders>
              <w:top w:val="single" w:sz="2" w:space="0" w:color="BFC9C0"/>
              <w:left w:val="single" w:sz="2" w:space="0" w:color="BFC9C0"/>
              <w:bottom w:val="single" w:sz="2" w:space="0" w:color="BFC9C0"/>
              <w:right w:val="single" w:sz="2" w:space="0" w:color="BFC9C0"/>
            </w:tcBorders>
            <w:shd w:val="clear" w:color="auto" w:fill="EEF3F1"/>
          </w:tcPr>
          <w:p w14:paraId="5B606AED" w14:textId="77777777" w:rsidR="00CD5946" w:rsidRDefault="00000000">
            <w:pPr>
              <w:spacing w:line="276" w:lineRule="auto"/>
            </w:pPr>
            <w:r>
              <w:rPr>
                <w:color w:val="1A1A1A"/>
                <w:sz w:val="18"/>
                <w:szCs w:val="18"/>
              </w:rPr>
              <w:t>7. Sanitation &amp; Hygiene</w:t>
            </w:r>
          </w:p>
        </w:tc>
        <w:tc>
          <w:tcPr>
            <w:tcW w:w="3600" w:type="dxa"/>
            <w:tcBorders>
              <w:top w:val="single" w:sz="2" w:space="0" w:color="BFC9C0"/>
              <w:left w:val="single" w:sz="2" w:space="0" w:color="BFC9C0"/>
              <w:bottom w:val="single" w:sz="2" w:space="0" w:color="BFC9C0"/>
              <w:right w:val="single" w:sz="2" w:space="0" w:color="BFC9C0"/>
            </w:tcBorders>
            <w:shd w:val="clear" w:color="auto" w:fill="EEF3F1"/>
          </w:tcPr>
          <w:p w14:paraId="1CF2F9B7" w14:textId="77777777" w:rsidR="00CD5946" w:rsidRDefault="00000000">
            <w:pPr>
              <w:spacing w:line="276" w:lineRule="auto"/>
            </w:pPr>
            <w:r>
              <w:rPr>
                <w:color w:val="1A1A1A"/>
                <w:sz w:val="18"/>
                <w:szCs w:val="18"/>
              </w:rPr>
              <w:t>Part I Ch.2 &amp; Ch.3; Annex 1 for sterile</w:t>
            </w:r>
          </w:p>
        </w:tc>
        <w:tc>
          <w:tcPr>
            <w:tcW w:w="2560" w:type="dxa"/>
            <w:tcBorders>
              <w:top w:val="single" w:sz="2" w:space="0" w:color="BFC9C0"/>
              <w:left w:val="single" w:sz="2" w:space="0" w:color="BFC9C0"/>
              <w:bottom w:val="single" w:sz="2" w:space="0" w:color="BFC9C0"/>
              <w:right w:val="single" w:sz="2" w:space="0" w:color="BFC9C0"/>
            </w:tcBorders>
            <w:shd w:val="clear" w:color="auto" w:fill="EEF3F1"/>
          </w:tcPr>
          <w:p w14:paraId="30629F5F" w14:textId="77777777" w:rsidR="00CD5946" w:rsidRDefault="00000000">
            <w:pPr>
              <w:spacing w:line="276" w:lineRule="auto"/>
            </w:pPr>
            <w:r>
              <w:rPr>
                <w:color w:val="1A1A1A"/>
                <w:sz w:val="18"/>
                <w:szCs w:val="18"/>
              </w:rPr>
              <w:t>Redistributed</w:t>
            </w:r>
          </w:p>
        </w:tc>
      </w:tr>
      <w:tr w:rsidR="00CD5946" w14:paraId="51101BD1" w14:textId="77777777">
        <w:tc>
          <w:tcPr>
            <w:tcW w:w="3200" w:type="dxa"/>
            <w:tcBorders>
              <w:top w:val="single" w:sz="2" w:space="0" w:color="BFC9C0"/>
              <w:left w:val="single" w:sz="2" w:space="0" w:color="BFC9C0"/>
              <w:bottom w:val="single" w:sz="2" w:space="0" w:color="BFC9C0"/>
              <w:right w:val="single" w:sz="2" w:space="0" w:color="BFC9C0"/>
            </w:tcBorders>
            <w:shd w:val="clear" w:color="auto" w:fill="FFFFFF"/>
          </w:tcPr>
          <w:p w14:paraId="673AE10A" w14:textId="77777777" w:rsidR="00CD5946" w:rsidRDefault="00000000">
            <w:pPr>
              <w:spacing w:line="276" w:lineRule="auto"/>
            </w:pPr>
            <w:r>
              <w:rPr>
                <w:color w:val="1A1A1A"/>
                <w:sz w:val="18"/>
                <w:szCs w:val="18"/>
              </w:rPr>
              <w:t>8. Documentation</w:t>
            </w:r>
          </w:p>
        </w:tc>
        <w:tc>
          <w:tcPr>
            <w:tcW w:w="3600" w:type="dxa"/>
            <w:tcBorders>
              <w:top w:val="single" w:sz="2" w:space="0" w:color="BFC9C0"/>
              <w:left w:val="single" w:sz="2" w:space="0" w:color="BFC9C0"/>
              <w:bottom w:val="single" w:sz="2" w:space="0" w:color="BFC9C0"/>
              <w:right w:val="single" w:sz="2" w:space="0" w:color="BFC9C0"/>
            </w:tcBorders>
            <w:shd w:val="clear" w:color="auto" w:fill="FFFFFF"/>
          </w:tcPr>
          <w:p w14:paraId="58D81892" w14:textId="77777777" w:rsidR="00CD5946" w:rsidRDefault="00000000">
            <w:pPr>
              <w:spacing w:line="276" w:lineRule="auto"/>
            </w:pPr>
            <w:r>
              <w:rPr>
                <w:color w:val="1A1A1A"/>
                <w:sz w:val="18"/>
                <w:szCs w:val="18"/>
              </w:rPr>
              <w:t>Part I Ch.4 (incl. data integrity)</w:t>
            </w:r>
          </w:p>
        </w:tc>
        <w:tc>
          <w:tcPr>
            <w:tcW w:w="2560" w:type="dxa"/>
            <w:tcBorders>
              <w:top w:val="single" w:sz="2" w:space="0" w:color="BFC9C0"/>
              <w:left w:val="single" w:sz="2" w:space="0" w:color="BFC9C0"/>
              <w:bottom w:val="single" w:sz="2" w:space="0" w:color="BFC9C0"/>
              <w:right w:val="single" w:sz="2" w:space="0" w:color="BFC9C0"/>
            </w:tcBorders>
            <w:shd w:val="clear" w:color="auto" w:fill="FFFFFF"/>
          </w:tcPr>
          <w:p w14:paraId="75336E01" w14:textId="77777777" w:rsidR="00CD5946" w:rsidRDefault="00000000">
            <w:pPr>
              <w:spacing w:line="276" w:lineRule="auto"/>
            </w:pPr>
            <w:r>
              <w:rPr>
                <w:color w:val="1A1A1A"/>
                <w:sz w:val="18"/>
                <w:szCs w:val="18"/>
              </w:rPr>
              <w:t>Expanded (ALCOA+)</w:t>
            </w:r>
          </w:p>
        </w:tc>
      </w:tr>
      <w:tr w:rsidR="00CD5946" w14:paraId="7D9DDE96" w14:textId="77777777">
        <w:tc>
          <w:tcPr>
            <w:tcW w:w="3200" w:type="dxa"/>
            <w:tcBorders>
              <w:top w:val="single" w:sz="2" w:space="0" w:color="BFC9C0"/>
              <w:left w:val="single" w:sz="2" w:space="0" w:color="BFC9C0"/>
              <w:bottom w:val="single" w:sz="2" w:space="0" w:color="BFC9C0"/>
              <w:right w:val="single" w:sz="2" w:space="0" w:color="BFC9C0"/>
            </w:tcBorders>
            <w:shd w:val="clear" w:color="auto" w:fill="EEF3F1"/>
          </w:tcPr>
          <w:p w14:paraId="7207F9B7" w14:textId="77777777" w:rsidR="00CD5946" w:rsidRDefault="00000000">
            <w:pPr>
              <w:spacing w:line="276" w:lineRule="auto"/>
            </w:pPr>
            <w:r>
              <w:rPr>
                <w:color w:val="1A1A1A"/>
                <w:sz w:val="18"/>
                <w:szCs w:val="18"/>
              </w:rPr>
              <w:t>9. Production</w:t>
            </w:r>
          </w:p>
        </w:tc>
        <w:tc>
          <w:tcPr>
            <w:tcW w:w="3600" w:type="dxa"/>
            <w:tcBorders>
              <w:top w:val="single" w:sz="2" w:space="0" w:color="BFC9C0"/>
              <w:left w:val="single" w:sz="2" w:space="0" w:color="BFC9C0"/>
              <w:bottom w:val="single" w:sz="2" w:space="0" w:color="BFC9C0"/>
              <w:right w:val="single" w:sz="2" w:space="0" w:color="BFC9C0"/>
            </w:tcBorders>
            <w:shd w:val="clear" w:color="auto" w:fill="EEF3F1"/>
          </w:tcPr>
          <w:p w14:paraId="3703C4B0" w14:textId="77777777" w:rsidR="00CD5946" w:rsidRDefault="00000000">
            <w:pPr>
              <w:spacing w:line="276" w:lineRule="auto"/>
            </w:pPr>
            <w:r>
              <w:rPr>
                <w:color w:val="1A1A1A"/>
                <w:sz w:val="18"/>
                <w:szCs w:val="18"/>
              </w:rPr>
              <w:t>Part I Ch.5</w:t>
            </w:r>
          </w:p>
        </w:tc>
        <w:tc>
          <w:tcPr>
            <w:tcW w:w="2560" w:type="dxa"/>
            <w:tcBorders>
              <w:top w:val="single" w:sz="2" w:space="0" w:color="BFC9C0"/>
              <w:left w:val="single" w:sz="2" w:space="0" w:color="BFC9C0"/>
              <w:bottom w:val="single" w:sz="2" w:space="0" w:color="BFC9C0"/>
              <w:right w:val="single" w:sz="2" w:space="0" w:color="BFC9C0"/>
            </w:tcBorders>
            <w:shd w:val="clear" w:color="auto" w:fill="EEF3F1"/>
          </w:tcPr>
          <w:p w14:paraId="269D5A4C" w14:textId="77777777" w:rsidR="00CD5946" w:rsidRDefault="00000000">
            <w:pPr>
              <w:spacing w:line="276" w:lineRule="auto"/>
            </w:pPr>
            <w:r>
              <w:rPr>
                <w:color w:val="1A1A1A"/>
                <w:sz w:val="18"/>
                <w:szCs w:val="18"/>
              </w:rPr>
              <w:t>Expanded</w:t>
            </w:r>
          </w:p>
        </w:tc>
      </w:tr>
      <w:tr w:rsidR="00CD5946" w14:paraId="44653074" w14:textId="77777777">
        <w:tc>
          <w:tcPr>
            <w:tcW w:w="3200" w:type="dxa"/>
            <w:tcBorders>
              <w:top w:val="single" w:sz="2" w:space="0" w:color="BFC9C0"/>
              <w:left w:val="single" w:sz="2" w:space="0" w:color="BFC9C0"/>
              <w:bottom w:val="single" w:sz="2" w:space="0" w:color="BFC9C0"/>
              <w:right w:val="single" w:sz="2" w:space="0" w:color="BFC9C0"/>
            </w:tcBorders>
            <w:shd w:val="clear" w:color="auto" w:fill="FFFFFF"/>
          </w:tcPr>
          <w:p w14:paraId="2C711D8D" w14:textId="77777777" w:rsidR="00CD5946" w:rsidRDefault="00000000">
            <w:pPr>
              <w:spacing w:line="276" w:lineRule="auto"/>
            </w:pPr>
            <w:r>
              <w:rPr>
                <w:color w:val="1A1A1A"/>
                <w:sz w:val="18"/>
                <w:szCs w:val="18"/>
              </w:rPr>
              <w:t>10. Quality Control</w:t>
            </w:r>
          </w:p>
        </w:tc>
        <w:tc>
          <w:tcPr>
            <w:tcW w:w="3600" w:type="dxa"/>
            <w:tcBorders>
              <w:top w:val="single" w:sz="2" w:space="0" w:color="BFC9C0"/>
              <w:left w:val="single" w:sz="2" w:space="0" w:color="BFC9C0"/>
              <w:bottom w:val="single" w:sz="2" w:space="0" w:color="BFC9C0"/>
              <w:right w:val="single" w:sz="2" w:space="0" w:color="BFC9C0"/>
            </w:tcBorders>
            <w:shd w:val="clear" w:color="auto" w:fill="FFFFFF"/>
          </w:tcPr>
          <w:p w14:paraId="0A8763D9" w14:textId="77777777" w:rsidR="00CD5946" w:rsidRDefault="00000000">
            <w:pPr>
              <w:spacing w:line="276" w:lineRule="auto"/>
            </w:pPr>
            <w:r>
              <w:rPr>
                <w:color w:val="1A1A1A"/>
                <w:sz w:val="18"/>
                <w:szCs w:val="18"/>
              </w:rPr>
              <w:t>Part I Ch.6</w:t>
            </w:r>
          </w:p>
        </w:tc>
        <w:tc>
          <w:tcPr>
            <w:tcW w:w="2560" w:type="dxa"/>
            <w:tcBorders>
              <w:top w:val="single" w:sz="2" w:space="0" w:color="BFC9C0"/>
              <w:left w:val="single" w:sz="2" w:space="0" w:color="BFC9C0"/>
              <w:bottom w:val="single" w:sz="2" w:space="0" w:color="BFC9C0"/>
              <w:right w:val="single" w:sz="2" w:space="0" w:color="BFC9C0"/>
            </w:tcBorders>
            <w:shd w:val="clear" w:color="auto" w:fill="FFFFFF"/>
          </w:tcPr>
          <w:p w14:paraId="070E2319" w14:textId="77777777" w:rsidR="00CD5946" w:rsidRDefault="00000000">
            <w:pPr>
              <w:spacing w:line="276" w:lineRule="auto"/>
            </w:pPr>
            <w:r>
              <w:rPr>
                <w:color w:val="1A1A1A"/>
                <w:sz w:val="18"/>
                <w:szCs w:val="18"/>
              </w:rPr>
              <w:t>Expanded (OOS, stability)</w:t>
            </w:r>
          </w:p>
        </w:tc>
      </w:tr>
      <w:tr w:rsidR="00CD5946" w14:paraId="6DD40B42" w14:textId="77777777">
        <w:tc>
          <w:tcPr>
            <w:tcW w:w="3200" w:type="dxa"/>
            <w:tcBorders>
              <w:top w:val="single" w:sz="2" w:space="0" w:color="BFC9C0"/>
              <w:left w:val="single" w:sz="2" w:space="0" w:color="BFC9C0"/>
              <w:bottom w:val="single" w:sz="2" w:space="0" w:color="BFC9C0"/>
              <w:right w:val="single" w:sz="2" w:space="0" w:color="BFC9C0"/>
            </w:tcBorders>
            <w:shd w:val="clear" w:color="auto" w:fill="EEF3F1"/>
          </w:tcPr>
          <w:p w14:paraId="790098B8" w14:textId="77777777" w:rsidR="00CD5946" w:rsidRDefault="00000000">
            <w:pPr>
              <w:spacing w:line="276" w:lineRule="auto"/>
            </w:pPr>
            <w:r>
              <w:rPr>
                <w:color w:val="1A1A1A"/>
                <w:sz w:val="18"/>
                <w:szCs w:val="18"/>
              </w:rPr>
              <w:t>11. Production of Sterile Products</w:t>
            </w:r>
          </w:p>
        </w:tc>
        <w:tc>
          <w:tcPr>
            <w:tcW w:w="3600" w:type="dxa"/>
            <w:tcBorders>
              <w:top w:val="single" w:sz="2" w:space="0" w:color="BFC9C0"/>
              <w:left w:val="single" w:sz="2" w:space="0" w:color="BFC9C0"/>
              <w:bottom w:val="single" w:sz="2" w:space="0" w:color="BFC9C0"/>
              <w:right w:val="single" w:sz="2" w:space="0" w:color="BFC9C0"/>
            </w:tcBorders>
            <w:shd w:val="clear" w:color="auto" w:fill="EEF3F1"/>
          </w:tcPr>
          <w:p w14:paraId="26EFCF18" w14:textId="77777777" w:rsidR="00CD5946" w:rsidRDefault="00000000">
            <w:pPr>
              <w:spacing w:line="276" w:lineRule="auto"/>
            </w:pPr>
            <w:r>
              <w:rPr>
                <w:color w:val="1A1A1A"/>
                <w:sz w:val="18"/>
                <w:szCs w:val="18"/>
              </w:rPr>
              <w:t>Annex 1 (2022)</w:t>
            </w:r>
          </w:p>
        </w:tc>
        <w:tc>
          <w:tcPr>
            <w:tcW w:w="2560" w:type="dxa"/>
            <w:tcBorders>
              <w:top w:val="single" w:sz="2" w:space="0" w:color="BFC9C0"/>
              <w:left w:val="single" w:sz="2" w:space="0" w:color="BFC9C0"/>
              <w:bottom w:val="single" w:sz="2" w:space="0" w:color="BFC9C0"/>
              <w:right w:val="single" w:sz="2" w:space="0" w:color="BFC9C0"/>
            </w:tcBorders>
            <w:shd w:val="clear" w:color="auto" w:fill="EEF3F1"/>
          </w:tcPr>
          <w:p w14:paraId="58E8961F" w14:textId="77777777" w:rsidR="00CD5946" w:rsidRDefault="00000000">
            <w:pPr>
              <w:spacing w:line="276" w:lineRule="auto"/>
            </w:pPr>
            <w:r>
              <w:rPr>
                <w:color w:val="1A1A1A"/>
                <w:sz w:val="18"/>
                <w:szCs w:val="18"/>
              </w:rPr>
              <w:t>Wholly re-based (CCS)</w:t>
            </w:r>
          </w:p>
        </w:tc>
      </w:tr>
      <w:tr w:rsidR="00CD5946" w14:paraId="0883B16E" w14:textId="77777777">
        <w:tc>
          <w:tcPr>
            <w:tcW w:w="3200" w:type="dxa"/>
            <w:tcBorders>
              <w:top w:val="single" w:sz="2" w:space="0" w:color="BFC9C0"/>
              <w:left w:val="single" w:sz="2" w:space="0" w:color="BFC9C0"/>
              <w:bottom w:val="single" w:sz="2" w:space="0" w:color="BFC9C0"/>
              <w:right w:val="single" w:sz="2" w:space="0" w:color="BFC9C0"/>
            </w:tcBorders>
            <w:shd w:val="clear" w:color="auto" w:fill="FFFFFF"/>
          </w:tcPr>
          <w:p w14:paraId="7AC0E7AC" w14:textId="77777777" w:rsidR="00CD5946" w:rsidRDefault="00000000">
            <w:pPr>
              <w:spacing w:line="276" w:lineRule="auto"/>
            </w:pPr>
            <w:r>
              <w:rPr>
                <w:color w:val="1A1A1A"/>
                <w:sz w:val="18"/>
                <w:szCs w:val="18"/>
              </w:rPr>
              <w:t>12. Complaints</w:t>
            </w:r>
          </w:p>
        </w:tc>
        <w:tc>
          <w:tcPr>
            <w:tcW w:w="3600" w:type="dxa"/>
            <w:tcBorders>
              <w:top w:val="single" w:sz="2" w:space="0" w:color="BFC9C0"/>
              <w:left w:val="single" w:sz="2" w:space="0" w:color="BFC9C0"/>
              <w:bottom w:val="single" w:sz="2" w:space="0" w:color="BFC9C0"/>
              <w:right w:val="single" w:sz="2" w:space="0" w:color="BFC9C0"/>
            </w:tcBorders>
            <w:shd w:val="clear" w:color="auto" w:fill="FFFFFF"/>
          </w:tcPr>
          <w:p w14:paraId="5584A5B2" w14:textId="77777777" w:rsidR="00CD5946" w:rsidRDefault="00000000">
            <w:pPr>
              <w:spacing w:line="276" w:lineRule="auto"/>
            </w:pPr>
            <w:r>
              <w:rPr>
                <w:color w:val="1A1A1A"/>
                <w:sz w:val="18"/>
                <w:szCs w:val="18"/>
              </w:rPr>
              <w:t>Part I Ch.8</w:t>
            </w:r>
          </w:p>
        </w:tc>
        <w:tc>
          <w:tcPr>
            <w:tcW w:w="2560" w:type="dxa"/>
            <w:tcBorders>
              <w:top w:val="single" w:sz="2" w:space="0" w:color="BFC9C0"/>
              <w:left w:val="single" w:sz="2" w:space="0" w:color="BFC9C0"/>
              <w:bottom w:val="single" w:sz="2" w:space="0" w:color="BFC9C0"/>
              <w:right w:val="single" w:sz="2" w:space="0" w:color="BFC9C0"/>
            </w:tcBorders>
            <w:shd w:val="clear" w:color="auto" w:fill="FFFFFF"/>
          </w:tcPr>
          <w:p w14:paraId="5CD59360" w14:textId="77777777" w:rsidR="00CD5946" w:rsidRDefault="00000000">
            <w:pPr>
              <w:spacing w:line="276" w:lineRule="auto"/>
            </w:pPr>
            <w:r>
              <w:rPr>
                <w:color w:val="1A1A1A"/>
                <w:sz w:val="18"/>
                <w:szCs w:val="18"/>
              </w:rPr>
              <w:t>Merged</w:t>
            </w:r>
          </w:p>
        </w:tc>
      </w:tr>
      <w:tr w:rsidR="00CD5946" w14:paraId="42058CA0" w14:textId="77777777">
        <w:tc>
          <w:tcPr>
            <w:tcW w:w="3200" w:type="dxa"/>
            <w:tcBorders>
              <w:top w:val="single" w:sz="2" w:space="0" w:color="BFC9C0"/>
              <w:left w:val="single" w:sz="2" w:space="0" w:color="BFC9C0"/>
              <w:bottom w:val="single" w:sz="2" w:space="0" w:color="BFC9C0"/>
              <w:right w:val="single" w:sz="2" w:space="0" w:color="BFC9C0"/>
            </w:tcBorders>
            <w:shd w:val="clear" w:color="auto" w:fill="EEF3F1"/>
          </w:tcPr>
          <w:p w14:paraId="3F3A7D7C" w14:textId="77777777" w:rsidR="00CD5946" w:rsidRDefault="00000000">
            <w:pPr>
              <w:spacing w:line="276" w:lineRule="auto"/>
            </w:pPr>
            <w:r>
              <w:rPr>
                <w:color w:val="1A1A1A"/>
                <w:sz w:val="18"/>
                <w:szCs w:val="18"/>
              </w:rPr>
              <w:t>13. Product Recall</w:t>
            </w:r>
          </w:p>
        </w:tc>
        <w:tc>
          <w:tcPr>
            <w:tcW w:w="3600" w:type="dxa"/>
            <w:tcBorders>
              <w:top w:val="single" w:sz="2" w:space="0" w:color="BFC9C0"/>
              <w:left w:val="single" w:sz="2" w:space="0" w:color="BFC9C0"/>
              <w:bottom w:val="single" w:sz="2" w:space="0" w:color="BFC9C0"/>
              <w:right w:val="single" w:sz="2" w:space="0" w:color="BFC9C0"/>
            </w:tcBorders>
            <w:shd w:val="clear" w:color="auto" w:fill="EEF3F1"/>
          </w:tcPr>
          <w:p w14:paraId="41ECE48D" w14:textId="77777777" w:rsidR="00CD5946" w:rsidRDefault="00000000">
            <w:pPr>
              <w:spacing w:line="276" w:lineRule="auto"/>
            </w:pPr>
            <w:r>
              <w:rPr>
                <w:color w:val="1A1A1A"/>
                <w:sz w:val="18"/>
                <w:szCs w:val="18"/>
              </w:rPr>
              <w:t>Part I Ch.8</w:t>
            </w:r>
          </w:p>
        </w:tc>
        <w:tc>
          <w:tcPr>
            <w:tcW w:w="2560" w:type="dxa"/>
            <w:tcBorders>
              <w:top w:val="single" w:sz="2" w:space="0" w:color="BFC9C0"/>
              <w:left w:val="single" w:sz="2" w:space="0" w:color="BFC9C0"/>
              <w:bottom w:val="single" w:sz="2" w:space="0" w:color="BFC9C0"/>
              <w:right w:val="single" w:sz="2" w:space="0" w:color="BFC9C0"/>
            </w:tcBorders>
            <w:shd w:val="clear" w:color="auto" w:fill="EEF3F1"/>
          </w:tcPr>
          <w:p w14:paraId="3808BB48" w14:textId="77777777" w:rsidR="00CD5946" w:rsidRDefault="00000000">
            <w:pPr>
              <w:spacing w:line="276" w:lineRule="auto"/>
            </w:pPr>
            <w:r>
              <w:rPr>
                <w:color w:val="1A1A1A"/>
                <w:sz w:val="18"/>
                <w:szCs w:val="18"/>
              </w:rPr>
              <w:t>Merged</w:t>
            </w:r>
          </w:p>
        </w:tc>
      </w:tr>
      <w:tr w:rsidR="00CD5946" w14:paraId="58FE6784" w14:textId="77777777">
        <w:tc>
          <w:tcPr>
            <w:tcW w:w="3200" w:type="dxa"/>
            <w:tcBorders>
              <w:top w:val="single" w:sz="2" w:space="0" w:color="BFC9C0"/>
              <w:left w:val="single" w:sz="2" w:space="0" w:color="BFC9C0"/>
              <w:bottom w:val="single" w:sz="2" w:space="0" w:color="BFC9C0"/>
              <w:right w:val="single" w:sz="2" w:space="0" w:color="BFC9C0"/>
            </w:tcBorders>
            <w:shd w:val="clear" w:color="auto" w:fill="FFFFFF"/>
          </w:tcPr>
          <w:p w14:paraId="69F0BD4D" w14:textId="77777777" w:rsidR="00CD5946" w:rsidRDefault="00000000">
            <w:pPr>
              <w:spacing w:line="276" w:lineRule="auto"/>
            </w:pPr>
            <w:r>
              <w:rPr>
                <w:color w:val="1A1A1A"/>
                <w:sz w:val="18"/>
                <w:szCs w:val="18"/>
              </w:rPr>
              <w:t>14. Self-Inspection &amp; Quality Audits</w:t>
            </w:r>
          </w:p>
        </w:tc>
        <w:tc>
          <w:tcPr>
            <w:tcW w:w="3600" w:type="dxa"/>
            <w:tcBorders>
              <w:top w:val="single" w:sz="2" w:space="0" w:color="BFC9C0"/>
              <w:left w:val="single" w:sz="2" w:space="0" w:color="BFC9C0"/>
              <w:bottom w:val="single" w:sz="2" w:space="0" w:color="BFC9C0"/>
              <w:right w:val="single" w:sz="2" w:space="0" w:color="BFC9C0"/>
            </w:tcBorders>
            <w:shd w:val="clear" w:color="auto" w:fill="FFFFFF"/>
          </w:tcPr>
          <w:p w14:paraId="539B1162" w14:textId="77777777" w:rsidR="00CD5946" w:rsidRDefault="00000000">
            <w:pPr>
              <w:spacing w:line="276" w:lineRule="auto"/>
            </w:pPr>
            <w:r>
              <w:rPr>
                <w:color w:val="1A1A1A"/>
                <w:sz w:val="18"/>
                <w:szCs w:val="18"/>
              </w:rPr>
              <w:t>Part I Ch.9</w:t>
            </w:r>
          </w:p>
        </w:tc>
        <w:tc>
          <w:tcPr>
            <w:tcW w:w="2560" w:type="dxa"/>
            <w:tcBorders>
              <w:top w:val="single" w:sz="2" w:space="0" w:color="BFC9C0"/>
              <w:left w:val="single" w:sz="2" w:space="0" w:color="BFC9C0"/>
              <w:bottom w:val="single" w:sz="2" w:space="0" w:color="BFC9C0"/>
              <w:right w:val="single" w:sz="2" w:space="0" w:color="BFC9C0"/>
            </w:tcBorders>
            <w:shd w:val="clear" w:color="auto" w:fill="FFFFFF"/>
          </w:tcPr>
          <w:p w14:paraId="7EF6B158" w14:textId="77777777" w:rsidR="00CD5946" w:rsidRDefault="00000000">
            <w:pPr>
              <w:spacing w:line="276" w:lineRule="auto"/>
            </w:pPr>
            <w:r>
              <w:rPr>
                <w:color w:val="1A1A1A"/>
                <w:sz w:val="18"/>
                <w:szCs w:val="18"/>
              </w:rPr>
              <w:t>Carried forward</w:t>
            </w:r>
          </w:p>
        </w:tc>
      </w:tr>
      <w:tr w:rsidR="00CD5946" w14:paraId="12FAB263" w14:textId="77777777">
        <w:tc>
          <w:tcPr>
            <w:tcW w:w="3200" w:type="dxa"/>
            <w:tcBorders>
              <w:top w:val="single" w:sz="2" w:space="0" w:color="BFC9C0"/>
              <w:left w:val="single" w:sz="2" w:space="0" w:color="BFC9C0"/>
              <w:bottom w:val="single" w:sz="2" w:space="0" w:color="BFC9C0"/>
              <w:right w:val="single" w:sz="2" w:space="0" w:color="BFC9C0"/>
            </w:tcBorders>
            <w:shd w:val="clear" w:color="auto" w:fill="EEF3F1"/>
          </w:tcPr>
          <w:p w14:paraId="32D6182F" w14:textId="77777777" w:rsidR="00CD5946" w:rsidRDefault="00000000">
            <w:pPr>
              <w:spacing w:line="276" w:lineRule="auto"/>
            </w:pPr>
            <w:r>
              <w:rPr>
                <w:color w:val="1A1A1A"/>
                <w:sz w:val="18"/>
                <w:szCs w:val="18"/>
              </w:rPr>
              <w:t>15. Contract Production &amp; Analysis</w:t>
            </w:r>
          </w:p>
        </w:tc>
        <w:tc>
          <w:tcPr>
            <w:tcW w:w="3600" w:type="dxa"/>
            <w:tcBorders>
              <w:top w:val="single" w:sz="2" w:space="0" w:color="BFC9C0"/>
              <w:left w:val="single" w:sz="2" w:space="0" w:color="BFC9C0"/>
              <w:bottom w:val="single" w:sz="2" w:space="0" w:color="BFC9C0"/>
              <w:right w:val="single" w:sz="2" w:space="0" w:color="BFC9C0"/>
            </w:tcBorders>
            <w:shd w:val="clear" w:color="auto" w:fill="EEF3F1"/>
          </w:tcPr>
          <w:p w14:paraId="5A6A85C2" w14:textId="77777777" w:rsidR="00CD5946" w:rsidRDefault="00000000">
            <w:pPr>
              <w:spacing w:line="276" w:lineRule="auto"/>
            </w:pPr>
            <w:r>
              <w:rPr>
                <w:color w:val="1A1A1A"/>
                <w:sz w:val="18"/>
                <w:szCs w:val="18"/>
              </w:rPr>
              <w:t>Part I Ch.7 (Outsourced Activities)</w:t>
            </w:r>
          </w:p>
        </w:tc>
        <w:tc>
          <w:tcPr>
            <w:tcW w:w="2560" w:type="dxa"/>
            <w:tcBorders>
              <w:top w:val="single" w:sz="2" w:space="0" w:color="BFC9C0"/>
              <w:left w:val="single" w:sz="2" w:space="0" w:color="BFC9C0"/>
              <w:bottom w:val="single" w:sz="2" w:space="0" w:color="BFC9C0"/>
              <w:right w:val="single" w:sz="2" w:space="0" w:color="BFC9C0"/>
            </w:tcBorders>
            <w:shd w:val="clear" w:color="auto" w:fill="EEF3F1"/>
          </w:tcPr>
          <w:p w14:paraId="439A56A4" w14:textId="77777777" w:rsidR="00CD5946" w:rsidRDefault="00000000">
            <w:pPr>
              <w:spacing w:line="276" w:lineRule="auto"/>
            </w:pPr>
            <w:r>
              <w:rPr>
                <w:color w:val="1A1A1A"/>
                <w:sz w:val="18"/>
                <w:szCs w:val="18"/>
              </w:rPr>
              <w:t>Renamed &amp; expanded</w:t>
            </w:r>
          </w:p>
        </w:tc>
      </w:tr>
      <w:tr w:rsidR="00CD5946" w14:paraId="0D408B60" w14:textId="77777777">
        <w:tc>
          <w:tcPr>
            <w:tcW w:w="3200" w:type="dxa"/>
            <w:tcBorders>
              <w:top w:val="single" w:sz="2" w:space="0" w:color="BFC9C0"/>
              <w:left w:val="single" w:sz="2" w:space="0" w:color="BFC9C0"/>
              <w:bottom w:val="single" w:sz="2" w:space="0" w:color="BFC9C0"/>
              <w:right w:val="single" w:sz="2" w:space="0" w:color="BFC9C0"/>
            </w:tcBorders>
            <w:shd w:val="clear" w:color="auto" w:fill="FFFFFF"/>
          </w:tcPr>
          <w:p w14:paraId="369A4D84" w14:textId="77777777" w:rsidR="00CD5946" w:rsidRDefault="00000000">
            <w:pPr>
              <w:spacing w:line="276" w:lineRule="auto"/>
            </w:pPr>
            <w:r>
              <w:rPr>
                <w:color w:val="1A1A1A"/>
                <w:sz w:val="18"/>
                <w:szCs w:val="18"/>
              </w:rPr>
              <w:t>16. Storage</w:t>
            </w:r>
          </w:p>
        </w:tc>
        <w:tc>
          <w:tcPr>
            <w:tcW w:w="3600" w:type="dxa"/>
            <w:tcBorders>
              <w:top w:val="single" w:sz="2" w:space="0" w:color="BFC9C0"/>
              <w:left w:val="single" w:sz="2" w:space="0" w:color="BFC9C0"/>
              <w:bottom w:val="single" w:sz="2" w:space="0" w:color="BFC9C0"/>
              <w:right w:val="single" w:sz="2" w:space="0" w:color="BFC9C0"/>
            </w:tcBorders>
            <w:shd w:val="clear" w:color="auto" w:fill="FFFFFF"/>
          </w:tcPr>
          <w:p w14:paraId="589C9AB7" w14:textId="77777777" w:rsidR="00CD5946" w:rsidRDefault="00000000">
            <w:pPr>
              <w:spacing w:line="276" w:lineRule="auto"/>
            </w:pPr>
            <w:r>
              <w:rPr>
                <w:color w:val="1A1A1A"/>
                <w:sz w:val="18"/>
                <w:szCs w:val="18"/>
              </w:rPr>
              <w:t>Part I Ch.3/Ch.5 &amp; GDP interface</w:t>
            </w:r>
          </w:p>
        </w:tc>
        <w:tc>
          <w:tcPr>
            <w:tcW w:w="2560" w:type="dxa"/>
            <w:tcBorders>
              <w:top w:val="single" w:sz="2" w:space="0" w:color="BFC9C0"/>
              <w:left w:val="single" w:sz="2" w:space="0" w:color="BFC9C0"/>
              <w:bottom w:val="single" w:sz="2" w:space="0" w:color="BFC9C0"/>
              <w:right w:val="single" w:sz="2" w:space="0" w:color="BFC9C0"/>
            </w:tcBorders>
            <w:shd w:val="clear" w:color="auto" w:fill="FFFFFF"/>
          </w:tcPr>
          <w:p w14:paraId="0AE84F8D" w14:textId="77777777" w:rsidR="00CD5946" w:rsidRDefault="00000000">
            <w:pPr>
              <w:spacing w:line="276" w:lineRule="auto"/>
            </w:pPr>
            <w:r>
              <w:rPr>
                <w:color w:val="1A1A1A"/>
                <w:sz w:val="18"/>
                <w:szCs w:val="18"/>
              </w:rPr>
              <w:t>Redistributed</w:t>
            </w:r>
          </w:p>
        </w:tc>
      </w:tr>
      <w:tr w:rsidR="00CD5946" w14:paraId="4545644D" w14:textId="77777777">
        <w:tc>
          <w:tcPr>
            <w:tcW w:w="3200" w:type="dxa"/>
            <w:tcBorders>
              <w:top w:val="single" w:sz="2" w:space="0" w:color="BFC9C0"/>
              <w:left w:val="single" w:sz="2" w:space="0" w:color="BFC9C0"/>
              <w:bottom w:val="single" w:sz="2" w:space="0" w:color="BFC9C0"/>
              <w:right w:val="single" w:sz="2" w:space="0" w:color="BFC9C0"/>
            </w:tcBorders>
            <w:shd w:val="clear" w:color="auto" w:fill="EEF3F1"/>
          </w:tcPr>
          <w:p w14:paraId="002F895E" w14:textId="77777777" w:rsidR="00CD5946" w:rsidRDefault="00000000">
            <w:pPr>
              <w:spacing w:line="276" w:lineRule="auto"/>
            </w:pPr>
            <w:r>
              <w:rPr>
                <w:color w:val="1A1A1A"/>
                <w:sz w:val="18"/>
                <w:szCs w:val="18"/>
              </w:rPr>
              <w:t>(none in 2007)</w:t>
            </w:r>
          </w:p>
        </w:tc>
        <w:tc>
          <w:tcPr>
            <w:tcW w:w="3600" w:type="dxa"/>
            <w:tcBorders>
              <w:top w:val="single" w:sz="2" w:space="0" w:color="BFC9C0"/>
              <w:left w:val="single" w:sz="2" w:space="0" w:color="BFC9C0"/>
              <w:bottom w:val="single" w:sz="2" w:space="0" w:color="BFC9C0"/>
              <w:right w:val="single" w:sz="2" w:space="0" w:color="BFC9C0"/>
            </w:tcBorders>
            <w:shd w:val="clear" w:color="auto" w:fill="EEF3F1"/>
          </w:tcPr>
          <w:p w14:paraId="3AB5840F" w14:textId="77777777" w:rsidR="00CD5946" w:rsidRDefault="00000000">
            <w:pPr>
              <w:spacing w:line="276" w:lineRule="auto"/>
            </w:pPr>
            <w:r>
              <w:rPr>
                <w:color w:val="1A1A1A"/>
                <w:sz w:val="18"/>
                <w:szCs w:val="18"/>
              </w:rPr>
              <w:t>Part II APIs (ICH Q7); Part III (SMF, Q9, Q10); Annexes 1–21; Data integrity; CCS</w:t>
            </w:r>
          </w:p>
        </w:tc>
        <w:tc>
          <w:tcPr>
            <w:tcW w:w="2560" w:type="dxa"/>
            <w:tcBorders>
              <w:top w:val="single" w:sz="2" w:space="0" w:color="BFC9C0"/>
              <w:left w:val="single" w:sz="2" w:space="0" w:color="BFC9C0"/>
              <w:bottom w:val="single" w:sz="2" w:space="0" w:color="BFC9C0"/>
              <w:right w:val="single" w:sz="2" w:space="0" w:color="BFC9C0"/>
            </w:tcBorders>
            <w:shd w:val="clear" w:color="auto" w:fill="EEF3F1"/>
          </w:tcPr>
          <w:p w14:paraId="60981408" w14:textId="77777777" w:rsidR="00CD5946" w:rsidRDefault="00000000">
            <w:pPr>
              <w:spacing w:line="276" w:lineRule="auto"/>
            </w:pPr>
            <w:r>
              <w:rPr>
                <w:color w:val="1A1A1A"/>
                <w:sz w:val="18"/>
                <w:szCs w:val="18"/>
              </w:rPr>
              <w:t>NEW</w:t>
            </w:r>
          </w:p>
        </w:tc>
      </w:tr>
    </w:tbl>
    <w:p w14:paraId="1225BF4F" w14:textId="77777777" w:rsidR="00CD5946" w:rsidRDefault="00000000">
      <w:r>
        <w:br w:type="page"/>
      </w:r>
    </w:p>
    <w:p w14:paraId="4D28EB4D" w14:textId="77777777" w:rsidR="00CD5946" w:rsidRDefault="00000000">
      <w:pPr>
        <w:pStyle w:val="Heading1"/>
        <w:spacing w:before="0"/>
      </w:pPr>
      <w:bookmarkStart w:id="40" w:name="__RefHeading___Toc9231_1729075678"/>
      <w:bookmarkEnd w:id="40"/>
      <w:r>
        <w:lastRenderedPageBreak/>
        <w:t>5. Key modernisations since 2007</w:t>
      </w:r>
    </w:p>
    <w:p w14:paraId="35D7CC41" w14:textId="77777777" w:rsidR="00CD5946" w:rsidRDefault="00000000">
      <w:pPr>
        <w:pStyle w:val="ListParagraph"/>
        <w:numPr>
          <w:ilvl w:val="0"/>
          <w:numId w:val="3"/>
        </w:numPr>
        <w:spacing w:after="60"/>
      </w:pPr>
      <w:r>
        <w:rPr>
          <w:color w:val="1A1A1A"/>
        </w:rPr>
        <w:t>Lifecycle, science- and risk-based approach throughout (ICH Q8–Q12) in place of a primarily end-product view.</w:t>
      </w:r>
    </w:p>
    <w:p w14:paraId="32C3A6F1" w14:textId="77777777" w:rsidR="00CD5946" w:rsidRDefault="00000000">
      <w:pPr>
        <w:pStyle w:val="ListParagraph"/>
        <w:numPr>
          <w:ilvl w:val="0"/>
          <w:numId w:val="3"/>
        </w:numPr>
        <w:spacing w:after="60"/>
      </w:pPr>
      <w:r>
        <w:rPr>
          <w:color w:val="1A1A1A"/>
        </w:rPr>
        <w:t>An explicit Pharmaceutical Quality System (ICH Q10): management responsibility, CAPA, change management, product quality review, knowledge management.</w:t>
      </w:r>
    </w:p>
    <w:p w14:paraId="16E8306A" w14:textId="77777777" w:rsidR="00CD5946" w:rsidRDefault="00000000">
      <w:pPr>
        <w:pStyle w:val="ListParagraph"/>
        <w:numPr>
          <w:ilvl w:val="0"/>
          <w:numId w:val="3"/>
        </w:numPr>
        <w:spacing w:after="60"/>
      </w:pPr>
      <w:r>
        <w:rPr>
          <w:color w:val="1A1A1A"/>
        </w:rPr>
        <w:t>Quality Risk Management (ICH Q9(R1)) as a cross-cutting requirement, including risk-based classification of findings and controls.</w:t>
      </w:r>
    </w:p>
    <w:p w14:paraId="64960336" w14:textId="77777777" w:rsidR="00CD5946" w:rsidRDefault="00000000">
      <w:pPr>
        <w:pStyle w:val="ListParagraph"/>
        <w:numPr>
          <w:ilvl w:val="0"/>
          <w:numId w:val="3"/>
        </w:numPr>
        <w:spacing w:after="60"/>
      </w:pPr>
      <w:r>
        <w:rPr>
          <w:color w:val="1A1A1A"/>
        </w:rPr>
        <w:t>A complete data-integrity framework (ALCOA+) for paper and electronic records, audit-trail review, and computerised-system validation (Annex 11 · PI 041-1 · GAMP 5 · 21 CFR Part 11).</w:t>
      </w:r>
    </w:p>
    <w:p w14:paraId="6A060B00" w14:textId="77777777" w:rsidR="00CD5946" w:rsidRDefault="00000000">
      <w:pPr>
        <w:pStyle w:val="ListParagraph"/>
        <w:numPr>
          <w:ilvl w:val="0"/>
          <w:numId w:val="3"/>
        </w:numPr>
        <w:spacing w:after="60"/>
      </w:pPr>
      <w:r>
        <w:rPr>
          <w:color w:val="1A1A1A"/>
        </w:rPr>
        <w:t>Sterile manufacture re-based on a documented Contamination Control Strategy with modern cleanroom grades, barrier technology (RABS/isolators) and aseptic process simulation (EU GMP Annex 1, 2022).</w:t>
      </w:r>
    </w:p>
    <w:p w14:paraId="04E0FDC8" w14:textId="77777777" w:rsidR="00CD5946" w:rsidRDefault="00000000">
      <w:pPr>
        <w:pStyle w:val="ListParagraph"/>
        <w:numPr>
          <w:ilvl w:val="0"/>
          <w:numId w:val="3"/>
        </w:numPr>
        <w:spacing w:after="60"/>
      </w:pPr>
      <w:r>
        <w:rPr>
          <w:color w:val="1A1A1A"/>
        </w:rPr>
        <w:t>Health-based exposure limits (HBEL/PDE) for cross-contamination and cleaning-validation limits in place of fixed dose/ppm rules alone (EMA HBEL · Annex 15).</w:t>
      </w:r>
    </w:p>
    <w:p>
      <w:pPr>
        <w:pStyle w:val="ListParagraph"/>
        <w:numPr>
          <w:ilvl w:val="0"/>
          <w:numId w:val="3"/>
        </w:numPr>
        <w:spacing w:after="60"/>
      </w:pPr>
      <w:r>
        <w:rPr>
          <w:color w:val="1A1A1A"/>
        </w:rPr>
        <w:t xml:space="preserve">A formal nitrosamine and mutagenic-impurity control framework (ICH M7(R2); EMA and US FDA nitrosamine guidance) — absent from the 2007 edition — embedded in Chapter 5, Part II and Appendix B.</w:t>
      </w:r>
    </w:p>
    <w:p w14:paraId="4674A205" w14:textId="77777777" w:rsidR="00CD5946" w:rsidRDefault="00000000">
      <w:pPr>
        <w:pStyle w:val="ListParagraph"/>
        <w:numPr>
          <w:ilvl w:val="0"/>
          <w:numId w:val="3"/>
        </w:numPr>
        <w:spacing w:after="60"/>
      </w:pPr>
      <w:r>
        <w:rPr>
          <w:color w:val="1A1A1A"/>
        </w:rPr>
        <w:t>A dedicated API GMP Part (ICH Q7) and supply-chain qualification and traceability requirements.</w:t>
      </w:r>
    </w:p>
    <w:p w14:paraId="037874C9" w14:textId="77777777" w:rsidR="00CD5946" w:rsidRDefault="00000000">
      <w:pPr>
        <w:pStyle w:val="ListParagraph"/>
        <w:numPr>
          <w:ilvl w:val="0"/>
          <w:numId w:val="3"/>
        </w:numPr>
        <w:spacing w:after="60"/>
      </w:pPr>
      <w:r>
        <w:rPr>
          <w:color w:val="1A1A1A"/>
        </w:rPr>
        <w:t>Modern qualification &amp; validation as a lifecycle (DQ–IQ–OQ–PQ, continued process verification) and modern analytical lifecycle (ICH Q2(R2)/Q14).</w:t>
      </w:r>
    </w:p>
    <w:p w14:paraId="3F24E3C3" w14:textId="77777777" w:rsidR="00CD5946" w:rsidRDefault="00000000">
      <w:pPr>
        <w:pStyle w:val="ListParagraph"/>
        <w:numPr>
          <w:ilvl w:val="0"/>
          <w:numId w:val="3"/>
        </w:numPr>
        <w:spacing w:after="60"/>
      </w:pPr>
      <w:r>
        <w:rPr>
          <w:color w:val="1A1A1A"/>
        </w:rPr>
        <w:t>Outsourcing, complaints/quality-defects and recall aligned to current EU/PIC/S expectations, supporting reliance among Arab and PIC/S authorities.</w:t>
      </w:r>
    </w:p>
    <w:p w14:paraId="05429825" w14:textId="77777777" w:rsidR="00CD5946" w:rsidRDefault="00000000">
      <w:pPr>
        <w:pStyle w:val="ListParagraph"/>
        <w:numPr>
          <w:ilvl w:val="0"/>
          <w:numId w:val="3"/>
        </w:numPr>
        <w:spacing w:after="60"/>
      </w:pPr>
      <w:r>
        <w:rPr>
          <w:color w:val="1A1A1A"/>
        </w:rPr>
        <w:t>Expanded coverage of biological and biotechnology-derived products and, for the first time, biosimilars (similar biotherapeutic products) — addressing GMP for living systems, viral safety (ICH Q5A(R2)), quality comparability (ICH Q5E) and lifecycle, aligned with WHO, EMA and US FDA (BPCIA) biosimilar frameworks. This reflects the growing biologics and biosimilar manufacturing base in the Arab region.</w:t>
      </w:r>
    </w:p>
    <w:p w14:paraId="66D370EC" w14:textId="77777777" w:rsidR="00CD5946" w:rsidRDefault="00000000">
      <w:r>
        <w:br w:type="page"/>
      </w:r>
    </w:p>
    <w:p w14:paraId="589FF163" w14:textId="77777777" w:rsidR="00CD5946" w:rsidRDefault="00000000">
      <w:pPr>
        <w:pStyle w:val="Heading1"/>
        <w:spacing w:before="0"/>
      </w:pPr>
      <w:bookmarkStart w:id="41" w:name="__RefHeading___Toc9233_1729075678"/>
      <w:bookmarkEnd w:id="41"/>
      <w:r>
        <w:lastRenderedPageBreak/>
        <w:t>6. Normative references</w:t>
      </w:r>
    </w:p>
    <w:p w14:paraId="0AFC5323" w14:textId="77777777" w:rsidR="00CD5946" w:rsidRDefault="00000000">
      <w:pPr>
        <w:spacing w:line="276" w:lineRule="auto"/>
      </w:pPr>
      <w:r>
        <w:rPr>
          <w:color w:val="1A1A1A"/>
        </w:rPr>
        <w:t>The 2026 Edition is harmonised with the following texts (latest versions at the time of drafting; the Working Group will confirm current editions at issue).</w:t>
      </w:r>
    </w:p>
    <w:p w14:paraId="0D0E15F9" w14:textId="77777777" w:rsidR="00CD5946" w:rsidRDefault="00000000">
      <w:pPr>
        <w:pStyle w:val="ListParagraph"/>
        <w:numPr>
          <w:ilvl w:val="0"/>
          <w:numId w:val="7"/>
        </w:numPr>
        <w:spacing w:after="50"/>
      </w:pPr>
      <w:r>
        <w:rPr>
          <w:color w:val="1A1A1A"/>
          <w:sz w:val="19"/>
          <w:szCs w:val="19"/>
        </w:rPr>
        <w:t>EudraLex, The Rules Governing Medicinal Products in the European Union, Volume 4 — EU Guidelines for Good Manufacturing Practice for Medicinal Products for Human and Veterinary Use; European Commission (veterinary GMP is migrating to the Regulation (EU) 2019/6 framework). Part I (Chapters 1–9), Part II, Part III, and Annexes.</w:t>
      </w:r>
    </w:p>
    <w:p w14:paraId="706DA408" w14:textId="77777777" w:rsidR="00CD5946" w:rsidRDefault="00000000">
      <w:pPr>
        <w:pStyle w:val="ListParagraph"/>
        <w:numPr>
          <w:ilvl w:val="0"/>
          <w:numId w:val="4"/>
        </w:numPr>
        <w:spacing w:after="50"/>
      </w:pPr>
      <w:r>
        <w:rPr>
          <w:color w:val="1A1A1A"/>
          <w:sz w:val="19"/>
          <w:szCs w:val="19"/>
        </w:rPr>
        <w:t>EU GMP Annex 1 — Manufacture of Sterile Medicinal Products (2022; in operation 25 August 2023, with §8.123 from 25 August 2024).</w:t>
      </w:r>
    </w:p>
    <w:p w14:paraId="393AB80C" w14:textId="77777777" w:rsidR="00CD5946" w:rsidRDefault="00000000">
      <w:pPr>
        <w:pStyle w:val="ListParagraph"/>
        <w:numPr>
          <w:ilvl w:val="0"/>
          <w:numId w:val="4"/>
        </w:numPr>
        <w:spacing w:after="50"/>
      </w:pPr>
      <w:r>
        <w:rPr>
          <w:color w:val="1A1A1A"/>
          <w:sz w:val="19"/>
          <w:szCs w:val="19"/>
        </w:rPr>
        <w:t>EU GMP Annex 11 — Computerised Systems (2011; revision in public consultation — see §1.9).</w:t>
      </w:r>
    </w:p>
    <w:p w14:paraId="1CB388FE" w14:textId="77777777" w:rsidR="00CD5946" w:rsidRDefault="00000000">
      <w:pPr>
        <w:pStyle w:val="ListParagraph"/>
        <w:numPr>
          <w:ilvl w:val="0"/>
          <w:numId w:val="4"/>
        </w:numPr>
        <w:spacing w:after="50"/>
      </w:pPr>
      <w:r>
        <w:rPr>
          <w:color w:val="1A1A1A"/>
          <w:sz w:val="19"/>
          <w:szCs w:val="19"/>
        </w:rPr>
        <w:t>EU GMP Annex 15 — Qualification and Validation (2015).</w:t>
      </w:r>
    </w:p>
    <w:p w14:paraId="2E9B2994" w14:textId="77777777" w:rsidR="00CD5946" w:rsidRDefault="00000000">
      <w:pPr>
        <w:pStyle w:val="ListParagraph"/>
        <w:numPr>
          <w:ilvl w:val="0"/>
          <w:numId w:val="4"/>
        </w:numPr>
        <w:spacing w:after="50"/>
      </w:pPr>
      <w:r>
        <w:rPr>
          <w:color w:val="1A1A1A"/>
          <w:sz w:val="19"/>
          <w:szCs w:val="19"/>
        </w:rPr>
        <w:t>EU GMP Annex 16 — Certification by a Qualified Person and Batch Release.</w:t>
      </w:r>
    </w:p>
    <w:p w14:paraId="1196DA2D" w14:textId="77777777" w:rsidR="00CD5946" w:rsidRDefault="00000000">
      <w:pPr>
        <w:pStyle w:val="ListParagraph"/>
        <w:numPr>
          <w:ilvl w:val="0"/>
          <w:numId w:val="4"/>
        </w:numPr>
        <w:spacing w:after="50"/>
      </w:pPr>
      <w:r>
        <w:rPr>
          <w:color w:val="1A1A1A"/>
          <w:sz w:val="19"/>
          <w:szCs w:val="19"/>
        </w:rPr>
        <w:t>EU GMP Annex 17 — Real Time Release Testing and Parametric Release (2018).</w:t>
      </w:r>
    </w:p>
    <w:p w14:paraId="633CA7CB" w14:textId="77777777" w:rsidR="00CD5946" w:rsidRDefault="00000000">
      <w:pPr>
        <w:pStyle w:val="ListParagraph"/>
        <w:numPr>
          <w:ilvl w:val="0"/>
          <w:numId w:val="4"/>
        </w:numPr>
        <w:spacing w:after="50"/>
      </w:pPr>
      <w:r>
        <w:rPr>
          <w:color w:val="1A1A1A"/>
          <w:sz w:val="19"/>
          <w:szCs w:val="19"/>
        </w:rPr>
        <w:t>EU GMP Annex 21 — Importation of Medicinal Products (2022).</w:t>
      </w:r>
    </w:p>
    <w:p w14:paraId="28FE0079" w14:textId="77777777" w:rsidR="00CD5946" w:rsidRDefault="00000000">
      <w:pPr>
        <w:pStyle w:val="ListParagraph"/>
        <w:numPr>
          <w:ilvl w:val="0"/>
          <w:numId w:val="4"/>
        </w:numPr>
        <w:spacing w:after="50"/>
      </w:pPr>
      <w:r>
        <w:rPr>
          <w:color w:val="1A1A1A"/>
          <w:sz w:val="19"/>
          <w:szCs w:val="19"/>
        </w:rPr>
        <w:t>Saudi Food and Drug Authority (SFDA) — GMP Guide, Version 4.4 (document OPS-G-080; Chapters 1–9 and Annexes, including 2A and 2B) — primary regional anchor; the in-force, EU/PIC/S-aligned GMP standard of the first Arab PIC/S member.</w:t>
      </w:r>
    </w:p>
    <w:p w14:paraId="3364E0BF" w14:textId="77777777" w:rsidR="00CD5946" w:rsidRDefault="00000000">
      <w:pPr>
        <w:pStyle w:val="ListParagraph"/>
        <w:numPr>
          <w:ilvl w:val="0"/>
          <w:numId w:val="4"/>
        </w:numPr>
        <w:spacing w:after="50"/>
      </w:pPr>
      <w:r>
        <w:rPr>
          <w:color w:val="1A1A1A"/>
          <w:sz w:val="19"/>
          <w:szCs w:val="19"/>
        </w:rPr>
        <w:t>PIC/S PE 009-17 — Guide to Good Manufacturing Practice for Medicinal Products (Parts I and II and Annexes), in force 25 August 2023.</w:t>
      </w:r>
    </w:p>
    <w:p w14:paraId="400EE178" w14:textId="77777777" w:rsidR="00CD5946" w:rsidRDefault="00000000">
      <w:pPr>
        <w:pStyle w:val="ListParagraph"/>
        <w:numPr>
          <w:ilvl w:val="0"/>
          <w:numId w:val="4"/>
        </w:numPr>
        <w:spacing w:after="50"/>
      </w:pPr>
      <w:r>
        <w:rPr>
          <w:color w:val="1A1A1A"/>
          <w:sz w:val="19"/>
          <w:szCs w:val="19"/>
        </w:rPr>
        <w:t>PIC/S PI 041-1 — Good Practices for Data Management and Integrity in Regulated GMP/GDP Environments (2021).</w:t>
      </w:r>
    </w:p>
    <w:p w14:paraId="15EC8985" w14:textId="77777777" w:rsidR="00CD5946" w:rsidRDefault="00000000">
      <w:pPr>
        <w:pStyle w:val="ListParagraph"/>
        <w:numPr>
          <w:ilvl w:val="0"/>
          <w:numId w:val="4"/>
        </w:numPr>
        <w:spacing w:after="50"/>
      </w:pPr>
      <w:r>
        <w:rPr>
          <w:color w:val="1A1A1A"/>
          <w:sz w:val="19"/>
          <w:szCs w:val="19"/>
        </w:rPr>
        <w:t>US FDA — 21 CFR Part 210 and Part 211: Current Good Manufacturing Practice for Finished Pharmaceuticals.</w:t>
      </w:r>
    </w:p>
    <w:p w14:paraId="2E646D63" w14:textId="77777777" w:rsidR="00CD5946" w:rsidRDefault="00000000">
      <w:pPr>
        <w:pStyle w:val="ListParagraph"/>
        <w:numPr>
          <w:ilvl w:val="0"/>
          <w:numId w:val="4"/>
        </w:numPr>
        <w:spacing w:after="50"/>
      </w:pPr>
      <w:r>
        <w:rPr>
          <w:color w:val="1A1A1A"/>
          <w:sz w:val="19"/>
          <w:szCs w:val="19"/>
        </w:rPr>
        <w:t>US FDA — 21 CFR Part 11: Electronic Records; Electronic Signatures.</w:t>
      </w:r>
    </w:p>
    <w:p w14:paraId="5DC54009" w14:textId="77777777" w:rsidR="00CD5946" w:rsidRDefault="00000000">
      <w:pPr>
        <w:pStyle w:val="ListParagraph"/>
        <w:numPr>
          <w:ilvl w:val="0"/>
          <w:numId w:val="4"/>
        </w:numPr>
        <w:spacing w:after="50"/>
      </w:pPr>
      <w:r>
        <w:rPr>
          <w:color w:val="1A1A1A"/>
          <w:sz w:val="19"/>
          <w:szCs w:val="19"/>
        </w:rPr>
        <w:t>US FDA Guidance for Industry — Process Validation: General Principles and Practices (2011).</w:t>
      </w:r>
    </w:p>
    <w:p w14:paraId="733687A3" w14:textId="77777777" w:rsidR="00CD5946" w:rsidRDefault="00000000">
      <w:pPr>
        <w:pStyle w:val="ListParagraph"/>
        <w:numPr>
          <w:ilvl w:val="0"/>
          <w:numId w:val="4"/>
        </w:numPr>
        <w:spacing w:after="50"/>
      </w:pPr>
      <w:r>
        <w:rPr>
          <w:color w:val="1A1A1A"/>
          <w:sz w:val="19"/>
          <w:szCs w:val="19"/>
        </w:rPr>
        <w:t>US FDA Guidance for Industry — Data Integrity and Compliance With Drug CGMP (2018).</w:t>
      </w:r>
    </w:p>
    <w:p w14:paraId="0DFE6769" w14:textId="77777777" w:rsidR="00CD5946" w:rsidRDefault="00000000">
      <w:pPr>
        <w:pStyle w:val="ListParagraph"/>
        <w:numPr>
          <w:ilvl w:val="0"/>
          <w:numId w:val="4"/>
        </w:numPr>
        <w:spacing w:after="50"/>
      </w:pPr>
      <w:r>
        <w:rPr>
          <w:color w:val="1A1A1A"/>
          <w:sz w:val="19"/>
          <w:szCs w:val="19"/>
        </w:rPr>
        <w:t>US FDA Guidance for Industry — Investigating Out-of-Specification (OOS) Test Results for Pharmaceutical Production (2022).</w:t>
      </w:r>
    </w:p>
    <w:p w14:paraId="73D1EFE6" w14:textId="77777777" w:rsidR="00CD5946" w:rsidRDefault="00000000">
      <w:pPr>
        <w:pStyle w:val="ListParagraph"/>
        <w:numPr>
          <w:ilvl w:val="0"/>
          <w:numId w:val="4"/>
        </w:numPr>
        <w:spacing w:after="50"/>
      </w:pPr>
      <w:r>
        <w:rPr>
          <w:color w:val="1A1A1A"/>
          <w:sz w:val="19"/>
          <w:szCs w:val="19"/>
        </w:rPr>
        <w:t>ICH Q7 — Good Manufacturing Practice Guide for Active Pharmaceutical Ingredients.</w:t>
      </w:r>
    </w:p>
    <w:p w14:paraId="57ED32B4" w14:textId="77777777" w:rsidR="00CD5946" w:rsidRDefault="00000000">
      <w:pPr>
        <w:pStyle w:val="ListParagraph"/>
        <w:numPr>
          <w:ilvl w:val="0"/>
          <w:numId w:val="4"/>
        </w:numPr>
        <w:spacing w:after="50"/>
      </w:pPr>
      <w:r>
        <w:rPr>
          <w:color w:val="1A1A1A"/>
          <w:sz w:val="19"/>
          <w:szCs w:val="19"/>
        </w:rPr>
        <w:t>ICH Q8(R2) — Pharmaceutical Development.</w:t>
      </w:r>
    </w:p>
    <w:p w14:paraId="41BF0FD0" w14:textId="77777777" w:rsidR="00CD5946" w:rsidRDefault="00000000">
      <w:pPr>
        <w:pStyle w:val="ListParagraph"/>
        <w:numPr>
          <w:ilvl w:val="0"/>
          <w:numId w:val="4"/>
        </w:numPr>
        <w:spacing w:after="50"/>
      </w:pPr>
      <w:r>
        <w:rPr>
          <w:color w:val="1A1A1A"/>
          <w:sz w:val="19"/>
          <w:szCs w:val="19"/>
        </w:rPr>
        <w:t>ICH Q9(R1) — Quality Risk Management (2023).</w:t>
      </w:r>
    </w:p>
    <w:p w14:paraId="59CE7208" w14:textId="77777777" w:rsidR="00CD5946" w:rsidRDefault="00000000">
      <w:pPr>
        <w:pStyle w:val="ListParagraph"/>
        <w:numPr>
          <w:ilvl w:val="0"/>
          <w:numId w:val="4"/>
        </w:numPr>
        <w:spacing w:after="50"/>
      </w:pPr>
      <w:r>
        <w:rPr>
          <w:color w:val="1A1A1A"/>
          <w:sz w:val="19"/>
          <w:szCs w:val="19"/>
        </w:rPr>
        <w:t>ICH Q10 — Pharmaceutical Quality System.</w:t>
      </w:r>
    </w:p>
    <w:p w14:paraId="5FF98415" w14:textId="77777777" w:rsidR="00CD5946" w:rsidRDefault="00000000">
      <w:pPr>
        <w:pStyle w:val="ListParagraph"/>
        <w:numPr>
          <w:ilvl w:val="0"/>
          <w:numId w:val="4"/>
        </w:numPr>
        <w:spacing w:after="50"/>
      </w:pPr>
      <w:r>
        <w:rPr>
          <w:color w:val="1A1A1A"/>
          <w:sz w:val="19"/>
          <w:szCs w:val="19"/>
        </w:rPr>
        <w:t>ICH Q11 — Development and Manufacture of Drug Substances; ICH Q12 — Lifecycle Management; ICH Q13 — Continuous Manufacturing.</w:t>
      </w:r>
    </w:p>
    <w:p w14:paraId="024CF80B" w14:textId="77777777" w:rsidR="00CD5946" w:rsidRDefault="00000000">
      <w:pPr>
        <w:pStyle w:val="ListParagraph"/>
        <w:numPr>
          <w:ilvl w:val="0"/>
          <w:numId w:val="4"/>
        </w:numPr>
        <w:spacing w:after="50"/>
      </w:pPr>
      <w:r>
        <w:rPr>
          <w:color w:val="1A1A1A"/>
          <w:sz w:val="19"/>
          <w:szCs w:val="19"/>
        </w:rPr>
        <w:t>ICH Q2(R2) — Validation of Analytical Procedures, and ICH Q14 — Analytical Procedure Development (2023).</w:t>
      </w:r>
    </w:p>
    <w:p w14:paraId="5DD46C60" w14:textId="77777777" w:rsidR="00CD5946" w:rsidRDefault="00000000">
      <w:pPr>
        <w:pStyle w:val="ListParagraph"/>
        <w:numPr>
          <w:ilvl w:val="0"/>
          <w:numId w:val="4"/>
        </w:numPr>
        <w:spacing w:after="50"/>
      </w:pPr>
      <w:r>
        <w:rPr>
          <w:color w:val="1A1A1A"/>
          <w:sz w:val="19"/>
          <w:szCs w:val="19"/>
        </w:rPr>
        <w:t>ICH Q1A(R2) / Q1B / Q1E — Stability testing and evaluation.</w:t>
      </w:r>
    </w:p>
    <w:p w14:paraId="394E896D" w14:textId="77777777" w:rsidR="00CD5946" w:rsidRDefault="00000000">
      <w:pPr>
        <w:pStyle w:val="ListParagraph"/>
        <w:numPr>
          <w:ilvl w:val="0"/>
          <w:numId w:val="4"/>
        </w:numPr>
        <w:spacing w:after="50"/>
      </w:pPr>
      <w:r>
        <w:rPr>
          <w:color w:val="1A1A1A"/>
          <w:sz w:val="19"/>
          <w:szCs w:val="19"/>
        </w:rPr>
        <w:t>ICH Q3A/Q3B (impurities), Q3C (residual solvents), Q3D(R2) (elemental impurities); ICH Q6A (chemical) and Q6B (biotechnological/biological specifications).</w:t>
      </w:r>
    </w:p>
    <w:p w14:paraId="14FAF052" w14:textId="77777777" w:rsidR="00CD5946" w:rsidRDefault="00000000">
      <w:pPr>
        <w:pStyle w:val="ListParagraph"/>
        <w:numPr>
          <w:ilvl w:val="0"/>
          <w:numId w:val="4"/>
        </w:numPr>
        <w:spacing w:after="50"/>
      </w:pPr>
      <w:r>
        <w:rPr>
          <w:color w:val="1A1A1A"/>
          <w:sz w:val="19"/>
          <w:szCs w:val="19"/>
        </w:rPr>
        <w:t>ICH Q5A(R2) (Viral safety evaluation, 2023/24), Q5B (analysis of expression construct), Q5C (stability of biotech products), Q5D (cell substrates), Q5E (comparability of biotechnological/biological products) and Q11 (development &amp; manufacture of drug substances, chemical &amp; biotechnological).</w:t>
      </w:r>
    </w:p>
    <w:p w14:paraId="79E22578" w14:textId="77777777" w:rsidR="00CD5946" w:rsidRDefault="00000000">
      <w:pPr>
        <w:pStyle w:val="ListParagraph"/>
        <w:numPr>
          <w:ilvl w:val="0"/>
          <w:numId w:val="4"/>
        </w:numPr>
        <w:spacing w:after="50"/>
      </w:pPr>
      <w:r>
        <w:rPr>
          <w:color w:val="1A1A1A"/>
          <w:sz w:val="19"/>
          <w:szCs w:val="19"/>
        </w:rPr>
        <w:t xml:space="preserve">Biosimilars (similar biotherapeutic products): WHO Guidelines on evaluation of biosimilars (TRS 1043, Annex 3, 2022; updating TRS 977, Annex 2, 2009); EMA — Guideline on similar biological medicinal products (CHMP/437/04 Rev.1) and the EMA biosimilar guideline suite; US FDA — </w:t>
        <w:lastRenderedPageBreak/>
        <w:t>biosimilar/interchangeable products under the BPCIA, section 351(k) PHS Act, and related FDA guidances on analytical and clinical comparability.</w:t>
      </w:r>
    </w:p>
    <w:p w14:paraId="73C468D2" w14:textId="77777777" w:rsidR="00CD5946" w:rsidRDefault="00000000">
      <w:pPr>
        <w:pStyle w:val="ListParagraph"/>
        <w:numPr>
          <w:ilvl w:val="0"/>
          <w:numId w:val="4"/>
        </w:numPr>
        <w:spacing w:after="50"/>
      </w:pPr>
      <w:r>
        <w:rPr>
          <w:color w:val="1A1A1A"/>
          <w:sz w:val="19"/>
          <w:szCs w:val="19"/>
        </w:rPr>
        <w:t>WHO Technical Report Series 986, Annex 2 — WHO Good Manufacturing Practices for Pharmaceutical Products: Main Principles (2014).</w:t>
      </w:r>
    </w:p>
    <w:p w14:paraId="50F646C9" w14:textId="77777777" w:rsidR="00CD5946" w:rsidRDefault="00000000">
      <w:pPr>
        <w:pStyle w:val="ListParagraph"/>
        <w:numPr>
          <w:ilvl w:val="0"/>
          <w:numId w:val="4"/>
        </w:numPr>
        <w:spacing w:after="50"/>
      </w:pPr>
      <w:r>
        <w:rPr>
          <w:color w:val="1A1A1A"/>
          <w:sz w:val="19"/>
          <w:szCs w:val="19"/>
        </w:rPr>
        <w:t>WHO Technical Report Series 1033, Annex 3 — Production of Water for Pharmaceutical Use (2021); Annex 4 — Data Integrity (2021).</w:t>
      </w:r>
    </w:p>
    <w:p w14:paraId="130668A9" w14:textId="77777777" w:rsidR="00CD5946" w:rsidRDefault="00000000">
      <w:pPr>
        <w:pStyle w:val="ListParagraph"/>
        <w:numPr>
          <w:ilvl w:val="0"/>
          <w:numId w:val="4"/>
        </w:numPr>
        <w:spacing w:after="50"/>
      </w:pPr>
      <w:r>
        <w:rPr>
          <w:color w:val="1A1A1A"/>
          <w:sz w:val="19"/>
          <w:szCs w:val="19"/>
        </w:rPr>
        <w:t>WHO Technical Report Series 1019, Annex 3 — Guidelines on GMP: Validation (2019).</w:t>
      </w:r>
    </w:p>
    <w:p w14:paraId="77E9D47D" w14:textId="77777777" w:rsidR="00CD5946" w:rsidRDefault="00000000">
      <w:pPr>
        <w:pStyle w:val="ListParagraph"/>
        <w:numPr>
          <w:ilvl w:val="0"/>
          <w:numId w:val="4"/>
        </w:numPr>
        <w:spacing w:after="50"/>
      </w:pPr>
      <w:r>
        <w:rPr>
          <w:color w:val="1A1A1A"/>
          <w:sz w:val="19"/>
          <w:szCs w:val="19"/>
        </w:rPr>
        <w:t>WHO Good Distribution Practices for Pharmaceutical Products (WHO TRS, GDP).</w:t>
      </w:r>
    </w:p>
    <w:p w14:paraId="6089A8FC" w14:textId="77777777" w:rsidR="00CD5946" w:rsidRDefault="00000000">
      <w:pPr>
        <w:pStyle w:val="ListParagraph"/>
        <w:numPr>
          <w:ilvl w:val="0"/>
          <w:numId w:val="4"/>
        </w:numPr>
        <w:spacing w:after="50"/>
      </w:pPr>
      <w:r>
        <w:rPr>
          <w:color w:val="1A1A1A"/>
          <w:sz w:val="19"/>
          <w:szCs w:val="19"/>
        </w:rPr>
        <w:t>ISO 14644-1:2015 and ISO 14644-2:2015 — Cleanrooms and associated controlled environments.</w:t>
      </w:r>
    </w:p>
    <w:p w14:paraId="1C24A2D7" w14:textId="77777777" w:rsidR="00CD5946" w:rsidRDefault="00000000">
      <w:pPr>
        <w:pStyle w:val="ListParagraph"/>
        <w:numPr>
          <w:ilvl w:val="0"/>
          <w:numId w:val="4"/>
        </w:numPr>
        <w:spacing w:after="50"/>
      </w:pPr>
      <w:r>
        <w:rPr>
          <w:color w:val="1A1A1A"/>
          <w:sz w:val="19"/>
          <w:szCs w:val="19"/>
        </w:rPr>
        <w:t>EN 285 — Sterilization — Steam sterilizers — Large sterilizers.</w:t>
      </w:r>
    </w:p>
    <w:p w14:paraId="4487DD09" w14:textId="77777777" w:rsidR="00CD5946" w:rsidRDefault="00000000">
      <w:pPr>
        <w:pStyle w:val="ListParagraph"/>
        <w:numPr>
          <w:ilvl w:val="0"/>
          <w:numId w:val="4"/>
        </w:numPr>
        <w:spacing w:after="50"/>
      </w:pPr>
      <w:r>
        <w:rPr>
          <w:color w:val="1A1A1A"/>
          <w:sz w:val="19"/>
          <w:szCs w:val="19"/>
        </w:rPr>
        <w:t>EMA — Guideline on Setting Health-Based Exposure Limits for use in risk identification in the manufacture of different medicinal products in shared facilities (EMA/CHMP/CVMP/SWP/169430/2012).</w:t>
      </w:r>
    </w:p>
    <w:p w14:paraId="2B376E53" w14:textId="77777777" w:rsidR="00CD5946" w:rsidRDefault="00000000">
      <w:pPr>
        <w:pStyle w:val="ListParagraph"/>
        <w:numPr>
          <w:ilvl w:val="0"/>
          <w:numId w:val="4"/>
        </w:numPr>
        <w:spacing w:after="50"/>
      </w:pPr>
      <w:r>
        <w:rPr>
          <w:color w:val="1A1A1A"/>
          <w:sz w:val="19"/>
          <w:szCs w:val="19"/>
        </w:rPr>
        <w:t>ISPE GAMP 5 — A Risk-Based Approach to Compliant GxP Computerised Systems (2nd Edition, 2022).</w:t>
      </w:r>
    </w:p>
    <w:p>
      <w:pPr>
        <w:pStyle w:val="ListParagraph"/>
        <w:numPr>
          <w:ilvl w:val="0"/>
          <w:numId w:val="4"/>
        </w:numPr>
        <w:spacing w:after="50"/>
      </w:pPr>
      <w:r>
        <w:rPr>
          <w:color w:val="1A1A1A"/>
          <w:sz w:val="19"/>
          <w:szCs w:val="19"/>
        </w:rPr>
        <w:t xml:space="preserve">ICH M7(R2) — Assessment and Control of DNA-Reactive (Mutagenic) Impurities (2023); EMA — Nitrosamine impurities in human medicinal products (Article 5(3) referral outcome and Q&amp;A, EMA/409815/2020, as updated); US FDA — Control of Nitrosamine Impurities in Human Drugs, and Recommended Acceptable Intake Limits for Nitrosamine Drug Substance-Related Impurities (current revisions).</w:t>
      </w:r>
    </w:p>
    <w:p>
      <w:pPr>
        <w:pStyle w:val="ListParagraph"/>
        <w:numPr>
          <w:ilvl w:val="0"/>
          <w:numId w:val="4"/>
        </w:numPr>
        <w:spacing w:after="50"/>
      </w:pPr>
      <w:r>
        <w:rPr>
          <w:color w:val="1A1A1A"/>
          <w:sz w:val="19"/>
          <w:szCs w:val="19"/>
        </w:rPr>
        <w:t xml:space="preserve">EU GMP Annex 19 — Reference and Retention Samples (revised 24 June 2026; applicable 24 September 2026).</w:t>
      </w:r>
    </w:p>
    <w:p>
      <w:pPr>
        <w:pStyle w:val="ListParagraph"/>
        <w:numPr>
          <w:ilvl w:val="0"/>
          <w:numId w:val="4"/>
        </w:numPr>
        <w:spacing w:after="50"/>
      </w:pPr>
      <w:r>
        <w:rPr>
          <w:color w:val="1A1A1A"/>
          <w:sz w:val="19"/>
          <w:szCs w:val="19"/>
        </w:rPr>
        <w:t xml:space="preserve">PIC/S PE 008 — Explanatory Notes for Pharmaceutical Manufacturers on the Preparation of a Site Master File; PIC/S PI 006-4 — Recommendations on Validation (in force 1 October 2026).</w:t>
      </w:r>
    </w:p>
    <w:p>
      <w:pPr>
        <w:pStyle w:val="ListParagraph"/>
        <w:numPr>
          <w:ilvl w:val="0"/>
          <w:numId w:val="4"/>
        </w:numPr>
        <w:spacing w:after="50"/>
      </w:pPr>
      <w:r>
        <w:rPr>
          <w:color w:val="1A1A1A"/>
          <w:sz w:val="19"/>
          <w:szCs w:val="19"/>
        </w:rPr>
        <w:t xml:space="preserve">US FDA — Sterile Drug Products Produced by Aseptic Processing (2004); US FDA — Computer Software Assurance for Production and Quality System Software (final).</w:t>
      </w:r>
    </w:p>
    <w:p>
      <w:pPr>
        <w:pStyle w:val="ListParagraph"/>
        <w:numPr>
          <w:ilvl w:val="0"/>
          <w:numId w:val="4"/>
        </w:numPr>
        <w:spacing w:after="50"/>
      </w:pPr>
      <w:r>
        <w:rPr>
          <w:color w:val="1A1A1A"/>
          <w:sz w:val="19"/>
          <w:szCs w:val="19"/>
        </w:rPr>
        <w:t xml:space="preserve">WHO — Good Reliance Practices (TRS 1033, Annex 10, 2021); WHO — Good Storage and Distribution Practices (TRS 1025, Annex 7, 2020); EU GDP Guidelines (2013/C 343/01).</w:t>
      </w:r>
    </w:p>
    <w:p>
      <w:pPr>
        <w:pStyle w:val="ListParagraph"/>
        <w:numPr>
          <w:ilvl w:val="0"/>
          <w:numId w:val="4"/>
        </w:numPr>
        <w:spacing w:after="50"/>
      </w:pPr>
      <w:r>
        <w:rPr>
          <w:color w:val="1A1A1A"/>
          <w:sz w:val="19"/>
          <w:szCs w:val="19"/>
        </w:rPr>
        <w:t xml:space="preserve">ISO 14644-3 (cleanroom test methods); EN 1822 (HEPA filter classification); ISO 17665 (moist-heat sterilisation).</w:t>
      </w:r>
    </w:p>
    <w:p w14:paraId="089027A5" w14:textId="77777777" w:rsidR="00CD5946" w:rsidRDefault="00000000">
      <w:pPr>
        <w:pStyle w:val="ListParagraph"/>
        <w:numPr>
          <w:ilvl w:val="0"/>
          <w:numId w:val="4"/>
        </w:numPr>
        <w:spacing w:after="50"/>
      </w:pPr>
      <w:r>
        <w:rPr>
          <w:color w:val="1A1A1A"/>
          <w:sz w:val="19"/>
          <w:szCs w:val="19"/>
        </w:rPr>
        <w:t>European Pharmacopoeia and United States Pharmacopeia — relevant general chapters and monographs (water, microbiology, endotoxins, uniformity, dissolution, etc.).</w:t>
      </w:r>
    </w:p>
    <w:p w14:paraId="1D4D8EFB" w14:textId="77777777" w:rsidR="00CD5946" w:rsidRDefault="00000000">
      <w:pPr>
        <w:pStyle w:val="ListParagraph"/>
        <w:numPr>
          <w:ilvl w:val="0"/>
          <w:numId w:val="4"/>
        </w:numPr>
        <w:spacing w:after="50"/>
      </w:pPr>
      <w:r>
        <w:rPr>
          <w:color w:val="1A1A1A"/>
          <w:sz w:val="19"/>
          <w:szCs w:val="19"/>
        </w:rPr>
        <w:t>ICH M4 — The Common Technical Document (CTD); EU Falsified Medicines Directive 2011/62/EU and Delegated Regulation (EU) 2016/161.</w:t>
      </w:r>
    </w:p>
    <w:p w14:paraId="4372E2D7" w14:textId="77777777" w:rsidR="00CD5946" w:rsidRDefault="00000000">
      <w:r>
        <w:br w:type="page"/>
      </w:r>
    </w:p>
    <w:p w14:paraId="297519AA" w14:textId="77777777" w:rsidR="00CD5946" w:rsidRDefault="00000000">
      <w:pPr>
        <w:pStyle w:val="Heading1"/>
        <w:spacing w:before="0"/>
      </w:pPr>
      <w:bookmarkStart w:id="42" w:name="__RefHeading___Toc9235_1729075678"/>
      <w:bookmarkEnd w:id="42"/>
      <w:r>
        <w:lastRenderedPageBreak/>
        <w:t>7. Definitions</w:t>
      </w:r>
    </w:p>
    <w:p w14:paraId="0C665425" w14:textId="77777777" w:rsidR="00CD5946" w:rsidRDefault="00000000">
      <w:pPr>
        <w:spacing w:line="276" w:lineRule="auto"/>
      </w:pPr>
      <w:r>
        <w:rPr>
          <w:color w:val="1A1A1A"/>
        </w:rPr>
        <w:t>The 2026 Edition will adopt a single harmonised glossary aligned with ICH, EU GMP and WHO definitions. Key terms updated or newly introduced relative to 2007 include, among others: Pharmaceutical Quality System; Quality Risk Management; Contamination Control Strategy; Data Integrity / ALCOA+; Health-Based Exposure Limit (HBEL) / Permitted Daily Exposure (PDE); Continued Process Verification; Aseptic Process Simulation; Qualified/Authorised Person; and Reliance. (A bilingual glossary already prepared by the AUPAM Experts' Office can seed Appendix C.)</w:t>
      </w:r>
    </w:p>
    <w:p w14:paraId="4CB6CA8F" w14:textId="77777777" w:rsidR="00CD5946" w:rsidRDefault="00000000">
      <w:pPr>
        <w:spacing w:before="260" w:after="0"/>
        <w:jc w:val="center"/>
      </w:pPr>
      <w:r>
        <w:rPr>
          <w:noProof/>
        </w:rPr>
        <w:drawing>
          <wp:inline distT="0" distB="0" distL="0" distR="0" wp14:anchorId="3B979C1A" wp14:editId="424C7061">
            <wp:extent cx="876300" cy="1238250"/>
            <wp:effectExtent l="0" t="0" r="0" b="0"/>
            <wp:docPr id="2" name="logo"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1B85B5DB" w14:textId="77777777" w:rsidR="00CD5946" w:rsidRDefault="00000000">
      <w:pPr>
        <w:spacing w:before="50" w:after="0"/>
        <w:jc w:val="center"/>
      </w:pPr>
      <w:r>
        <w:rPr>
          <w:rFonts w:ascii="Arial" w:eastAsia="Arial" w:hAnsi="Arial"/>
          <w:b/>
          <w:bCs/>
          <w:color w:val="15512F"/>
          <w:sz w:val="19"/>
          <w:szCs w:val="19"/>
        </w:rPr>
        <w:t>AUPAM EXPERTS' OFFICE</w:t>
      </w:r>
    </w:p>
    <w:p w14:paraId="739E473B"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1A1F96E0" w14:textId="77777777" w:rsidR="00CD5946" w:rsidRDefault="00000000">
      <w:pPr>
        <w:spacing w:before="10" w:after="0"/>
        <w:jc w:val="center"/>
      </w:pPr>
      <w:r>
        <w:rPr>
          <w:rFonts w:ascii="Arial" w:eastAsia="Arial" w:hAnsi="Arial"/>
          <w:b/>
          <w:bCs/>
          <w:color w:val="B08C37"/>
          <w:sz w:val="24"/>
          <w:szCs w:val="24"/>
        </w:rPr>
        <w:t>2026 EDITION</w:t>
      </w:r>
    </w:p>
    <w:p w14:paraId="48EBCD57" w14:textId="77777777" w:rsidR="00CD5946" w:rsidRDefault="00000000">
      <w:pPr>
        <w:spacing w:before="260" w:after="0"/>
        <w:jc w:val="center"/>
      </w:pPr>
      <w:r>
        <w:rPr>
          <w:rFonts w:ascii="Arial" w:eastAsia="Arial" w:hAnsi="Arial"/>
          <w:b/>
          <w:bCs/>
          <w:color w:val="15512F"/>
          <w:sz w:val="60"/>
          <w:szCs w:val="60"/>
        </w:rPr>
        <w:t>PART I</w:t>
      </w:r>
    </w:p>
    <w:p w14:paraId="193164C4" w14:textId="77777777" w:rsidR="00CD5946" w:rsidRDefault="00000000">
      <w:pPr>
        <w:spacing w:before="40" w:after="0"/>
        <w:jc w:val="center"/>
      </w:pPr>
      <w:r>
        <w:rPr>
          <w:rFonts w:ascii="Arial" w:eastAsia="Arial" w:hAnsi="Arial"/>
          <w:b/>
          <w:bCs/>
          <w:color w:val="1A1A1A"/>
          <w:sz w:val="30"/>
          <w:szCs w:val="30"/>
        </w:rPr>
        <w:t>Basic Requirements for Medicinal Products</w:t>
      </w:r>
    </w:p>
    <w:p w14:paraId="16F364BC" w14:textId="77777777" w:rsidR="00CD5946" w:rsidRDefault="00000000">
      <w:pPr>
        <w:spacing w:before="20" w:after="0"/>
        <w:jc w:val="center"/>
      </w:pPr>
      <w:r>
        <w:rPr>
          <w:rFonts w:ascii="Arial" w:eastAsia="Arial" w:hAnsi="Arial"/>
          <w:color w:val="5A5A5A"/>
          <w:sz w:val="24"/>
          <w:szCs w:val="24"/>
        </w:rPr>
        <w:t>Chapters 1 – 9</w:t>
      </w:r>
    </w:p>
    <w:p w14:paraId="126C3640" w14:textId="77777777" w:rsidR="00CD5946" w:rsidRDefault="00000000">
      <w:pPr>
        <w:spacing w:before="30" w:after="0"/>
        <w:jc w:val="center"/>
      </w:pPr>
      <w:r>
        <w:rPr>
          <w:rFonts w:ascii="Arial" w:eastAsia="Arial" w:hAnsi="Arial"/>
          <w:b/>
          <w:bCs/>
          <w:color w:val="15512F"/>
          <w:sz w:val="22"/>
          <w:szCs w:val="22"/>
          <w:rtl/>
        </w:rPr>
        <w:t>الجزء الأول — المتطلّبات الأساسية للمنتجات الدوائية (الفصول ⁦</w:t>
      </w:r>
      <w:r>
        <w:rPr>
          <w:rFonts w:ascii="Arial" w:eastAsia="Arial" w:hAnsi="Arial"/>
          <w:b/>
          <w:bCs/>
          <w:color w:val="15512F"/>
          <w:sz w:val="22"/>
          <w:szCs w:val="22"/>
        </w:rPr>
        <w:t>1–9</w:t>
      </w:r>
      <w:r>
        <w:rPr>
          <w:rFonts w:ascii="Arial" w:eastAsia="Arial" w:hAnsi="Arial"/>
          <w:b/>
          <w:bCs/>
          <w:color w:val="15512F"/>
          <w:sz w:val="22"/>
          <w:szCs w:val="22"/>
          <w:rtl/>
        </w:rPr>
        <w:t>⁩)</w:t>
      </w:r>
    </w:p>
    <w:p w14:paraId="5C69E055"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21 CFR 210/211 · WHO · ICH</w:t>
      </w:r>
    </w:p>
    <w:p w14:paraId="64D007BA" w14:textId="77777777" w:rsidR="00CD5946" w:rsidRDefault="00000000">
      <w:pPr>
        <w:spacing w:before="160" w:after="0"/>
        <w:jc w:val="center"/>
      </w:pPr>
      <w:r>
        <w:rPr>
          <w:rFonts w:ascii="Arial" w:eastAsia="Arial" w:hAnsi="Arial"/>
          <w:i/>
          <w:iCs/>
          <w:color w:val="5A5A5A"/>
          <w:sz w:val="16"/>
          <w:szCs w:val="16"/>
        </w:rPr>
        <w:t>Convention: “shall” = requirement · “should” = recommendation · “may” = option. Clause numbers are citable.</w:t>
      </w:r>
    </w:p>
    <w:p>
      <w:pPr>
        <w:spacing w:before="160" w:after="0"/>
        <w:jc w:val="center"/>
      </w:pPr>
      <w:r>
        <w:rPr>
          <w:rFonts w:ascii="Arial" w:eastAsia="Arial" w:hAnsi="Arial"/>
          <w:i/>
          <w:iCs/>
          <w:color w:val="5A5A5A"/>
          <w:sz w:val="16"/>
          <w:szCs w:val="16"/>
        </w:rPr>
        <w:t xml:space="preserve">Language note. In this consultation draft the clause-by-clause Arabic parallel text is complete for Part II, Part III and the Annexes; for the Part I chapter bodies it is provided at summary level, and the full Arabic parallel text of Part I will be issued with Version 1.0. The English text remains authoritative (see Document Control).</w:t>
      </w:r>
    </w:p>
    <w:p>
      <w:pPr>
        <w:spacing w:before="160" w:after="0"/>
        <w:jc w:val="center"/>
      </w:pPr>
      <w:r>
        <w:rPr>
          <w:rFonts w:ascii="Arial" w:eastAsia="Arial" w:hAnsi="Arial"/>
          <w:i/>
          <w:iCs/>
          <w:color w:val="5A5A5A"/>
          <w:sz w:val="16"/>
          <w:szCs w:val="16"/>
        </w:rPr>
        <w:t xml:space="preserve">ملاحظة لغوية: اكتمل في هذه المسودة النص العربي الموازي بنداً ببند للجزأين الثاني والثالث والملاحق؛ أمّا متون فصول الجزء الأول فمقدَّمة على مستوى الملخّص، ويصدر نصّها العربي الكامل مع النسخة 1.0. ويبقى النص الإنجليزي هو المرجع.</w:t>
      </w:r>
    </w:p>
    <w:p w14:paraId="1BC54529" w14:textId="77777777" w:rsidR="00CD5946" w:rsidRDefault="00000000">
      <w:r>
        <w:br w:type="page"/>
      </w:r>
    </w:p>
    <w:p w14:paraId="79FB0085" w14:textId="77777777" w:rsidR="00CD5946" w:rsidRDefault="00000000">
      <w:pPr>
        <w:pStyle w:val="Heading1"/>
        <w:spacing w:before="0"/>
      </w:pPr>
      <w:bookmarkStart w:id="43" w:name="__RefHeading___Toc9243_1729075678"/>
      <w:bookmarkEnd w:id="43"/>
      <w:r>
        <w:lastRenderedPageBreak/>
        <w:t>Contents</w:t>
      </w:r>
    </w:p>
    <w:sdt>
      <w:sdtPr>
        <w:id w:val="-69660206"/>
        <w:docPartObj>
          <w:docPartGallery w:val="Table of Contents"/>
          <w:docPartUnique/>
        </w:docPartObj>
      </w:sdtPr>
      <w:sdtContent>
        <w:p w14:paraId="2D4FEB39"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6DFFBBC0"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06D2B0FC"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5BDC6D51"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325A97FD"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58859D66"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18F43FC1"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6D3E7F97"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11B1B1B4"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68FB04F4"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00F9F82F"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10B2DA00"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3861EAF3"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1F7F2D0E"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6CF039DD"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56E8D3F0"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3D177362"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47B23E3C"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1C0A5027"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52B19F2A"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0333F48A"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7B390348"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553FE75B"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0F9B64C1"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5774F9A8"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3D9A8F0D"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6D6ECA93"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4E5E55F9"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141512F1"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07846718"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7D73B864"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5B75C8C4"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50A3EB88"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3B8FA290"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105C4635"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3EFE1534"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34803D57"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36BDF717"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30BD07F2"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5EE6998B"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4F9D400A"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5EAE919A"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6A14B635"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379EF35C"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67EADDAC"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3846F3BD"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150174DA"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73EC84D7"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53B12E68"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4F4E20D3"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034E1EB7"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66FD00B6"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131122BC"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136E3DE6"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07494B7E"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21E1D753"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700E479E"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6EDE68A3"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65613950"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5DE094E4"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0BBCDF13"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67C6931F"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48070772"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50B56B91"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5AEC7AA2"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3D297457"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7A60FF20"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76286070"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0608A599"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14C58A45"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79562891"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795F4905"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578138E1"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136FF784" w14:textId="77777777" w:rsidR="00CD5946" w:rsidRDefault="00000000">
      <w:r>
        <w:br w:type="page"/>
      </w:r>
    </w:p>
    <w:p w14:paraId="49774C62" w14:textId="77777777" w:rsidR="00CD5946" w:rsidRDefault="00000000">
      <w:pPr>
        <w:pStyle w:val="Heading1"/>
        <w:spacing w:before="0"/>
      </w:pPr>
      <w:bookmarkStart w:id="44" w:name="__RefHeading___Toc9245_1729075678"/>
      <w:bookmarkEnd w:id="44"/>
      <w:r>
        <w:lastRenderedPageBreak/>
        <w:t>Scope and application of Part I</w:t>
      </w:r>
    </w:p>
    <w:p w14:paraId="00BA25BF" w14:textId="77777777" w:rsidR="00CD5946" w:rsidRDefault="00000000">
      <w:pPr>
        <w:pBdr>
          <w:left w:val="single" w:sz="10" w:space="8" w:color="CFCFCF"/>
        </w:pBdr>
        <w:spacing w:before="60" w:after="140"/>
        <w:ind w:left="160"/>
      </w:pPr>
      <w:r>
        <w:rPr>
          <w:rFonts w:ascii="Arial" w:eastAsia="Arial" w:hAnsi="Arial"/>
          <w:b/>
          <w:bCs/>
          <w:color w:val="15512F"/>
        </w:rPr>
        <w:t xml:space="preserve">Scope.  </w:t>
      </w:r>
      <w:r>
        <w:rPr>
          <w:rFonts w:ascii="Arial" w:eastAsia="Arial" w:hAnsi="Arial"/>
          <w:color w:val="1A1A1A"/>
        </w:rPr>
        <w:t>Part I sets out the basic requirements of Good Manufacturing Practice for medicinal products. Its nine chapters apply to all categories of medicinal products manufactured, imported or distributed within the Arab region, and are to be read together with Part II (active substances), Part III (supporting documents) and the Annexes, which expand or qualify these requirements for specific products, processes and activities.</w:t>
      </w:r>
    </w:p>
    <w:p w14:paraId="0046B136" w14:textId="77777777" w:rsidR="00CD5946" w:rsidRDefault="00000000">
      <w:r>
        <w:rPr>
          <w:rFonts w:ascii="Arial" w:eastAsia="Arial" w:hAnsi="Arial"/>
          <w:color w:val="1A1A1A"/>
        </w:rPr>
        <w:t>The chapters describe, in the form of citable clauses, the requirements of the Pharmaceutical Quality System, personnel, premises and equipment, documentation and data integrity, production, quality control, outsourced activities, complaints and recalls, and self-inspection. Where an Annex addresses a particular product or activity, the Annex prevails to the extent of any difference; in all other respects Part I applies.</w:t>
      </w:r>
    </w:p>
    <w:p w14:paraId="33090729" w14:textId="77777777" w:rsidR="00CD5946" w:rsidRDefault="00000000">
      <w:r>
        <w:rPr>
          <w:rFonts w:ascii="Arial" w:eastAsia="Arial" w:hAnsi="Arial"/>
          <w:color w:val="1A1A1A"/>
        </w:rPr>
        <w:t>Throughout this Part, the deontic conventions stated in the introductory volume apply: “shall” denotes a requirement, “should” a recommendation, and “may” an option. Principle statements frame each chapter; clauses carry the binding provisions; and notes set apart from the clauses are informative, providing explanation or examples and not, in themselves, additional requirements.</w:t>
      </w:r>
      <w:r>
        <w:br w:type="page"/>
      </w:r>
    </w:p>
    <w:p w14:paraId="7C648B1D" w14:textId="77777777" w:rsidR="00CD5946" w:rsidRDefault="00000000">
      <w:pPr>
        <w:pStyle w:val="Heading1"/>
        <w:spacing w:before="0"/>
      </w:pPr>
      <w:bookmarkStart w:id="45" w:name="__RefHeading___Toc9247_1729075678"/>
      <w:bookmarkEnd w:id="45"/>
      <w:r>
        <w:lastRenderedPageBreak/>
        <w:t>Chapter 1 — Pharmaceutical Quality System</w:t>
      </w:r>
    </w:p>
    <w:p w14:paraId="3839DC75" w14:textId="77777777" w:rsidR="00CD5946" w:rsidRDefault="00000000">
      <w:pPr>
        <w:pBdr>
          <w:left w:val="single" w:sz="16" w:space="8" w:color="C8A24B"/>
        </w:pBdr>
        <w:spacing w:before="60" w:after="140"/>
        <w:ind w:left="160"/>
      </w:pPr>
      <w:r>
        <w:rPr>
          <w:rFonts w:ascii="Arial" w:eastAsia="Arial" w:hAnsi="Arial"/>
          <w:b/>
          <w:bCs/>
          <w:color w:val="B08C37"/>
        </w:rPr>
        <w:t xml:space="preserve">Principle.  </w:t>
      </w:r>
      <w:r>
        <w:rPr>
          <w:rFonts w:ascii="Arial" w:eastAsia="Arial" w:hAnsi="Arial"/>
          <w:color w:val="1A1A1A"/>
        </w:rPr>
        <w:t>The holder of a manufacturing authorisation shall manufacture medicinal products so that they are fit for their intended use, comply with the requirements of the marketing authorisation or clinical-trial authorisation, and do not place patients at risk owing to inadequate safety, quality or efficacy. Attainment of this quality objective is the responsibility of senior management and requires the participation and commitment of staff in many departments and at all levels within the company, and of the company's suppliers and distributors. To achieve it reliably there shall be a comprehensively designed and correctly implemented Pharmaceutical Quality System (PQS) incorporating Good Manufacturing Practice and Quality Risk Management. The system shall be fully documented and its effectiveness monitored.</w:t>
      </w:r>
    </w:p>
    <w:p w14:paraId="1ECB5756" w14:textId="77777777" w:rsidR="00CD5946" w:rsidRDefault="00000000">
      <w:pPr>
        <w:spacing w:before="20" w:after="140"/>
      </w:pPr>
      <w:r>
        <w:rPr>
          <w:rFonts w:ascii="Arial" w:eastAsia="Arial" w:hAnsi="Arial"/>
          <w:b/>
          <w:bCs/>
          <w:color w:val="B08C37"/>
          <w:sz w:val="17"/>
          <w:szCs w:val="17"/>
        </w:rPr>
        <w:t xml:space="preserve">Harmonised with: </w:t>
      </w:r>
      <w:r>
        <w:rPr>
          <w:rFonts w:ascii="Arial" w:eastAsia="Arial" w:hAnsi="Arial"/>
          <w:i/>
          <w:iCs/>
          <w:color w:val="5A5A5A"/>
          <w:sz w:val="17"/>
          <w:szCs w:val="17"/>
        </w:rPr>
        <w:t>EU GMP Part I, Chapter 1 · ICH Q10 · ICH Q9(R1) · SFDA GMP Guide v4.4, Chapter 1 · US FDA 21 CFR 211 Subpart B · WHO TRS 986, Annex 2</w:t>
      </w:r>
    </w:p>
    <w:p w14:paraId="79E2481E" w14:textId="77777777" w:rsidR="00CD5946" w:rsidRDefault="00000000">
      <w:pPr>
        <w:pStyle w:val="Heading2"/>
      </w:pPr>
      <w:bookmarkStart w:id="46" w:name="__RefHeading___Toc9249_1729075678"/>
      <w:bookmarkEnd w:id="46"/>
      <w:r>
        <w:t>1.1  Pharmaceutical Quality System</w:t>
      </w:r>
    </w:p>
    <w:p w14:paraId="78F5AAD8" w14:textId="77777777" w:rsidR="00CD5946" w:rsidRDefault="00000000">
      <w:pPr>
        <w:spacing w:after="90"/>
        <w:ind w:left="300" w:hanging="300"/>
      </w:pPr>
      <w:r>
        <w:rPr>
          <w:rFonts w:ascii="Arial" w:eastAsia="Arial" w:hAnsi="Arial"/>
          <w:b/>
          <w:bCs/>
          <w:color w:val="15512F"/>
        </w:rPr>
        <w:t xml:space="preserve">1.1.1  </w:t>
      </w:r>
      <w:r>
        <w:rPr>
          <w:rFonts w:ascii="Arial" w:eastAsia="Arial" w:hAnsi="Arial"/>
          <w:color w:val="1A1A1A"/>
        </w:rPr>
        <w:t>Senior management has the ultimate responsibility to ensure an effective PQS is resourced and that roles, responsibilities and authorities are defined, communicated and implemented throughout the organisation. Management shall lead by example and there shall be active participation by management in the system.</w:t>
      </w:r>
    </w:p>
    <w:p w14:paraId="03A81BBB" w14:textId="77777777" w:rsidR="00CD5946" w:rsidRDefault="00000000">
      <w:pPr>
        <w:spacing w:after="90"/>
        <w:ind w:left="300" w:hanging="300"/>
      </w:pPr>
      <w:r>
        <w:rPr>
          <w:rFonts w:ascii="Arial" w:eastAsia="Arial" w:hAnsi="Arial"/>
          <w:b/>
          <w:bCs/>
          <w:color w:val="15512F"/>
        </w:rPr>
        <w:t xml:space="preserve">1.1.2  </w:t>
      </w:r>
      <w:r>
        <w:rPr>
          <w:rFonts w:ascii="Arial" w:eastAsia="Arial" w:hAnsi="Arial"/>
          <w:color w:val="1A1A1A"/>
        </w:rPr>
        <w:t>The PQS shall be designed to encompass pharmaceutical development, technology transfer, commercial manufacturing and product discontinuation, as applicable, across the product lifecycle. It shall ensure that product realisation is achieved by designing, planning, implementing, maintaining and continuously improving a system that allows the consistent delivery of products of appropriate quality.</w:t>
      </w:r>
    </w:p>
    <w:p w14:paraId="633C80C4" w14:textId="77777777" w:rsidR="00CD5946" w:rsidRDefault="00000000">
      <w:pPr>
        <w:spacing w:after="90"/>
        <w:ind w:left="300" w:hanging="300"/>
      </w:pPr>
      <w:r>
        <w:rPr>
          <w:rFonts w:ascii="Arial" w:eastAsia="Arial" w:hAnsi="Arial"/>
          <w:b/>
          <w:bCs/>
          <w:color w:val="15512F"/>
        </w:rPr>
        <w:t xml:space="preserve">1.1.3  </w:t>
      </w:r>
      <w:r>
        <w:rPr>
          <w:rFonts w:ascii="Arial" w:eastAsia="Arial" w:hAnsi="Arial"/>
          <w:color w:val="1A1A1A"/>
        </w:rPr>
        <w:t>The PQS shall ensure that: pharmaceutical products are designed and developed in a way that takes account of GMP requirements; production and control operations are clearly specified and GMP adopted; managerial responsibilities are clearly specified; arrangements are made for the manufacture, supply and use of the correct starting and packaging materials, the selection and monitoring of suppliers, and verification that each delivery is from the approved supply chain; processes and controls for the supply chain, including outsourced activities, are in place; and a state of control is established and maintained by developing and using effective monitoring and control systems for process performance and product quality.</w:t>
      </w:r>
    </w:p>
    <w:p w14:paraId="2324C302" w14:textId="77777777" w:rsidR="00CD5946" w:rsidRDefault="00000000">
      <w:pPr>
        <w:spacing w:after="90"/>
        <w:ind w:left="300" w:hanging="300"/>
      </w:pPr>
      <w:r>
        <w:rPr>
          <w:rFonts w:ascii="Arial" w:eastAsia="Arial" w:hAnsi="Arial"/>
          <w:b/>
          <w:bCs/>
          <w:color w:val="15512F"/>
        </w:rPr>
        <w:t xml:space="preserve">1.1.4  </w:t>
      </w:r>
      <w:r>
        <w:rPr>
          <w:rFonts w:ascii="Arial" w:eastAsia="Arial" w:hAnsi="Arial"/>
          <w:color w:val="1A1A1A"/>
        </w:rPr>
        <w:t>All necessary controls on intermediate products, and any other in-process controls and validations, shall be carried out. The finished product shall be correctly processed and checked according to defined procedures.</w:t>
      </w:r>
    </w:p>
    <w:p w14:paraId="5459FB77" w14:textId="77777777" w:rsidR="00CD5946" w:rsidRDefault="00000000">
      <w:pPr>
        <w:spacing w:after="90"/>
        <w:ind w:left="300" w:hanging="300"/>
      </w:pPr>
      <w:r>
        <w:rPr>
          <w:rFonts w:ascii="Arial" w:eastAsia="Arial" w:hAnsi="Arial"/>
          <w:b/>
          <w:bCs/>
          <w:color w:val="15512F"/>
        </w:rPr>
        <w:t xml:space="preserve">1.1.5  </w:t>
      </w:r>
      <w:r>
        <w:rPr>
          <w:rFonts w:ascii="Arial" w:eastAsia="Arial" w:hAnsi="Arial"/>
          <w:color w:val="1A1A1A"/>
        </w:rPr>
        <w:t>Products shall not be sold or supplied before an Authorised/Qualified Person has certified that each production batch has been produced and controlled in accordance with the requirements of the marketing authorisation and any other regulations relevant to the production, control and release of medicinal products.</w:t>
      </w:r>
    </w:p>
    <w:p w14:paraId="1B10F8F9" w14:textId="77777777" w:rsidR="00CD5946" w:rsidRDefault="00000000">
      <w:pPr>
        <w:spacing w:after="90"/>
        <w:ind w:left="300" w:hanging="300"/>
      </w:pPr>
      <w:r>
        <w:rPr>
          <w:rFonts w:ascii="Arial" w:eastAsia="Arial" w:hAnsi="Arial"/>
          <w:b/>
          <w:bCs/>
          <w:color w:val="15512F"/>
        </w:rPr>
        <w:t xml:space="preserve">1.1.6  </w:t>
      </w:r>
      <w:r>
        <w:rPr>
          <w:rFonts w:ascii="Arial" w:eastAsia="Arial" w:hAnsi="Arial"/>
          <w:color w:val="1A1A1A"/>
        </w:rPr>
        <w:t>Satisfactory arrangements shall exist to ensure, so far as possible, that products are stored, distributed and subsequently handled so that quality is maintained throughout their shelf life; that there is a process for self-inspection and/or quality audit that regularly appraises the effectiveness and applicability of the PQS; and that arrangements are in place for the prospective evaluation and approval of planned changes prior to implementation, and their notification to and approval by the authority where required.</w:t>
      </w:r>
    </w:p>
    <w:p w14:paraId="752C1BC8" w14:textId="77777777" w:rsidR="00CD5946" w:rsidRDefault="00000000">
      <w:pPr>
        <w:spacing w:after="90"/>
        <w:ind w:left="300" w:hanging="300"/>
      </w:pPr>
      <w:r>
        <w:rPr>
          <w:rFonts w:ascii="Arial" w:eastAsia="Arial" w:hAnsi="Arial"/>
          <w:b/>
          <w:bCs/>
          <w:color w:val="15512F"/>
        </w:rPr>
        <w:t xml:space="preserve">1.1.7  </w:t>
      </w:r>
      <w:r>
        <w:rPr>
          <w:rFonts w:ascii="Arial" w:eastAsia="Arial" w:hAnsi="Arial"/>
          <w:color w:val="1A1A1A"/>
        </w:rPr>
        <w:t xml:space="preserve">After implementation of any change, an evaluation shall be undertaken to confirm the quality objectives were achieved and there was no unintended adverse impact on product quality. </w:t>
        <w:lastRenderedPageBreak/>
        <w:t>Deviations, suspected product defects and other problems shall be reported, investigated and recorded, and an appropriate level of root-cause analysis applied; corrective and/or preventive actions (CAPA) shall be identified, taken and their effectiveness verified.</w:t>
      </w:r>
    </w:p>
    <w:p w14:paraId="3832B1C1" w14:textId="77777777" w:rsidR="00CD5946" w:rsidRDefault="00000000">
      <w:pPr>
        <w:spacing w:after="90"/>
        <w:ind w:left="300" w:hanging="300"/>
      </w:pPr>
      <w:r>
        <w:rPr>
          <w:rFonts w:ascii="Arial" w:eastAsia="Arial" w:hAnsi="Arial"/>
          <w:b/>
          <w:bCs/>
          <w:color w:val="15512F"/>
        </w:rPr>
        <w:t xml:space="preserve">1.1.8  </w:t>
      </w:r>
      <w:r>
        <w:rPr>
          <w:rFonts w:ascii="Arial" w:eastAsia="Arial" w:hAnsi="Arial"/>
          <w:color w:val="1A1A1A"/>
        </w:rPr>
        <w:t>Senior management shall conduct a periodic, documented management review of the operation of the PQS, identifying opportunities for continual improvement of products, processes and the system itself. Knowledge management and quality risk management are enablers of the PQS that provide the means for science- and risk-based decisions related to product quality.</w:t>
      </w:r>
    </w:p>
    <w:p w14:paraId="0BDA1AC0" w14:textId="77777777" w:rsidR="00CD5946" w:rsidRDefault="00000000">
      <w:pPr>
        <w:pStyle w:val="Heading2"/>
      </w:pPr>
      <w:bookmarkStart w:id="47" w:name="__RefHeading___Toc9251_1729075678"/>
      <w:bookmarkEnd w:id="47"/>
      <w:r>
        <w:t>1.2  Good Manufacturing Practice for Medicinal Products</w:t>
      </w:r>
    </w:p>
    <w:p w14:paraId="4940DEDD" w14:textId="77777777" w:rsidR="00CD5946" w:rsidRDefault="00000000">
      <w:pPr>
        <w:spacing w:after="90"/>
        <w:ind w:left="300" w:hanging="300"/>
      </w:pPr>
      <w:r>
        <w:rPr>
          <w:rFonts w:ascii="Arial" w:eastAsia="Arial" w:hAnsi="Arial"/>
          <w:b/>
          <w:bCs/>
          <w:color w:val="15512F"/>
        </w:rPr>
        <w:t xml:space="preserve">1.2.1  </w:t>
      </w:r>
      <w:r>
        <w:rPr>
          <w:rFonts w:ascii="Arial" w:eastAsia="Arial" w:hAnsi="Arial"/>
          <w:color w:val="1A1A1A"/>
        </w:rPr>
        <w:t>Good Manufacturing Practice is that part of quality assurance which ensures that products are consistently produced and controlled to the quality standards appropriate to their intended use and as required by the marketing authorisation, clinical-trial authorisation or product specification. The basic requirements of GMP are that:</w:t>
      </w:r>
    </w:p>
    <w:p w14:paraId="58B29714" w14:textId="77777777" w:rsidR="00CD5946" w:rsidRDefault="00000000">
      <w:pPr>
        <w:spacing w:after="50"/>
        <w:ind w:left="760" w:hanging="300"/>
      </w:pPr>
      <w:r>
        <w:rPr>
          <w:rFonts w:ascii="Arial" w:eastAsia="Arial" w:hAnsi="Arial"/>
          <w:b/>
          <w:bCs/>
          <w:color w:val="1A1A1A"/>
          <w:sz w:val="20"/>
          <w:szCs w:val="20"/>
        </w:rPr>
        <w:t xml:space="preserve">(a)  </w:t>
      </w:r>
      <w:r>
        <w:rPr>
          <w:rFonts w:ascii="Arial" w:eastAsia="Arial" w:hAnsi="Arial"/>
          <w:color w:val="1A1A1A"/>
          <w:sz w:val="20"/>
          <w:szCs w:val="20"/>
        </w:rPr>
        <w:t>all manufacturing processes are clearly defined, systematically reviewed in the light of experience, and shown to be capable of consistently manufacturing products of the required quality;</w:t>
      </w:r>
    </w:p>
    <w:p w14:paraId="565ACF74" w14:textId="77777777" w:rsidR="00CD5946" w:rsidRDefault="00000000">
      <w:pPr>
        <w:spacing w:after="50"/>
        <w:ind w:left="760" w:hanging="300"/>
      </w:pPr>
      <w:r>
        <w:rPr>
          <w:rFonts w:ascii="Arial" w:eastAsia="Arial" w:hAnsi="Arial"/>
          <w:b/>
          <w:bCs/>
          <w:color w:val="1A1A1A"/>
          <w:sz w:val="20"/>
          <w:szCs w:val="20"/>
        </w:rPr>
        <w:t xml:space="preserve">(b)  </w:t>
      </w:r>
      <w:r>
        <w:rPr>
          <w:rFonts w:ascii="Arial" w:eastAsia="Arial" w:hAnsi="Arial"/>
          <w:color w:val="1A1A1A"/>
          <w:sz w:val="20"/>
          <w:szCs w:val="20"/>
        </w:rPr>
        <w:t>critical steps of manufacturing processes and significant changes to the process are validated;</w:t>
      </w:r>
    </w:p>
    <w:p w14:paraId="74D57246" w14:textId="77777777" w:rsidR="00CD5946" w:rsidRDefault="00000000">
      <w:pPr>
        <w:spacing w:after="50"/>
        <w:ind w:left="760" w:hanging="300"/>
      </w:pPr>
      <w:r>
        <w:rPr>
          <w:rFonts w:ascii="Arial" w:eastAsia="Arial" w:hAnsi="Arial"/>
          <w:b/>
          <w:bCs/>
          <w:color w:val="1A1A1A"/>
          <w:sz w:val="20"/>
          <w:szCs w:val="20"/>
        </w:rPr>
        <w:t xml:space="preserve">(c)  </w:t>
      </w:r>
      <w:r>
        <w:rPr>
          <w:rFonts w:ascii="Arial" w:eastAsia="Arial" w:hAnsi="Arial"/>
          <w:color w:val="1A1A1A"/>
          <w:sz w:val="20"/>
          <w:szCs w:val="20"/>
        </w:rPr>
        <w:t>all necessary facilities are provided, including appropriately qualified and trained personnel, adequate premises and space, suitable equipment and services, correct materials, containers and labels, approved procedures and instructions in accordance with the PQS, and suitable storage and transport;</w:t>
      </w:r>
    </w:p>
    <w:p w14:paraId="3B8DDF2A" w14:textId="77777777" w:rsidR="00CD5946" w:rsidRDefault="00000000">
      <w:pPr>
        <w:spacing w:after="50"/>
        <w:ind w:left="760" w:hanging="300"/>
      </w:pPr>
      <w:r>
        <w:rPr>
          <w:rFonts w:ascii="Arial" w:eastAsia="Arial" w:hAnsi="Arial"/>
          <w:b/>
          <w:bCs/>
          <w:color w:val="1A1A1A"/>
          <w:sz w:val="20"/>
          <w:szCs w:val="20"/>
        </w:rPr>
        <w:t xml:space="preserve">(d)  </w:t>
      </w:r>
      <w:r>
        <w:rPr>
          <w:rFonts w:ascii="Arial" w:eastAsia="Arial" w:hAnsi="Arial"/>
          <w:color w:val="1A1A1A"/>
          <w:sz w:val="20"/>
          <w:szCs w:val="20"/>
        </w:rPr>
        <w:t>instructions and procedures are written in clear and unambiguous language, specifically applicable to the facilities provided;</w:t>
      </w:r>
    </w:p>
    <w:p w14:paraId="4CB73249" w14:textId="77777777" w:rsidR="00CD5946" w:rsidRDefault="00000000">
      <w:pPr>
        <w:spacing w:after="50"/>
        <w:ind w:left="760" w:hanging="300"/>
      </w:pPr>
      <w:r>
        <w:rPr>
          <w:rFonts w:ascii="Arial" w:eastAsia="Arial" w:hAnsi="Arial"/>
          <w:b/>
          <w:bCs/>
          <w:color w:val="1A1A1A"/>
          <w:sz w:val="20"/>
          <w:szCs w:val="20"/>
        </w:rPr>
        <w:t xml:space="preserve">(e)  </w:t>
      </w:r>
      <w:r>
        <w:rPr>
          <w:rFonts w:ascii="Arial" w:eastAsia="Arial" w:hAnsi="Arial"/>
          <w:color w:val="1A1A1A"/>
          <w:sz w:val="20"/>
          <w:szCs w:val="20"/>
        </w:rPr>
        <w:t>procedures are carried out correctly and operators are trained to do so;</w:t>
      </w:r>
    </w:p>
    <w:p w14:paraId="2B11072B" w14:textId="77777777" w:rsidR="00CD5946" w:rsidRDefault="00000000">
      <w:pPr>
        <w:spacing w:after="50"/>
        <w:ind w:left="760" w:hanging="300"/>
      </w:pPr>
      <w:r>
        <w:rPr>
          <w:rFonts w:ascii="Arial" w:eastAsia="Arial" w:hAnsi="Arial"/>
          <w:b/>
          <w:bCs/>
          <w:color w:val="1A1A1A"/>
          <w:sz w:val="20"/>
          <w:szCs w:val="20"/>
        </w:rPr>
        <w:t xml:space="preserve">(f)  </w:t>
      </w:r>
      <w:r>
        <w:rPr>
          <w:rFonts w:ascii="Arial" w:eastAsia="Arial" w:hAnsi="Arial"/>
          <w:color w:val="1A1A1A"/>
          <w:sz w:val="20"/>
          <w:szCs w:val="20"/>
        </w:rPr>
        <w:t>records are made, manually and/or by recording instruments, during manufacture that demonstrate all the steps required by the defined procedures and instructions were in fact taken and that the quantity and quality of the product were as expected;</w:t>
      </w:r>
    </w:p>
    <w:p w14:paraId="474CBEA2" w14:textId="77777777" w:rsidR="00CD5946" w:rsidRDefault="00000000">
      <w:pPr>
        <w:spacing w:after="50"/>
        <w:ind w:left="760" w:hanging="300"/>
      </w:pPr>
      <w:r>
        <w:rPr>
          <w:rFonts w:ascii="Arial" w:eastAsia="Arial" w:hAnsi="Arial"/>
          <w:b/>
          <w:bCs/>
          <w:color w:val="1A1A1A"/>
          <w:sz w:val="20"/>
          <w:szCs w:val="20"/>
        </w:rPr>
        <w:t xml:space="preserve">(g)  </w:t>
      </w:r>
      <w:r>
        <w:rPr>
          <w:rFonts w:ascii="Arial" w:eastAsia="Arial" w:hAnsi="Arial"/>
          <w:color w:val="1A1A1A"/>
          <w:sz w:val="20"/>
          <w:szCs w:val="20"/>
        </w:rPr>
        <w:t>any significant deviations are fully recorded, investigated with the objective of determining the root cause, and appropriate corrective and preventive action implemented;</w:t>
      </w:r>
    </w:p>
    <w:p w14:paraId="663A27AA" w14:textId="77777777" w:rsidR="00CD5946" w:rsidRDefault="00000000">
      <w:pPr>
        <w:spacing w:after="50"/>
        <w:ind w:left="760" w:hanging="300"/>
      </w:pPr>
      <w:r>
        <w:rPr>
          <w:rFonts w:ascii="Arial" w:eastAsia="Arial" w:hAnsi="Arial"/>
          <w:b/>
          <w:bCs/>
          <w:color w:val="1A1A1A"/>
          <w:sz w:val="20"/>
          <w:szCs w:val="20"/>
        </w:rPr>
        <w:t xml:space="preserve">(h)  </w:t>
      </w:r>
      <w:r>
        <w:rPr>
          <w:rFonts w:ascii="Arial" w:eastAsia="Arial" w:hAnsi="Arial"/>
          <w:color w:val="1A1A1A"/>
          <w:sz w:val="20"/>
          <w:szCs w:val="20"/>
        </w:rPr>
        <w:t>records of manufacture, including distribution, that enable the complete history of a batch to be traced are retained in a comprehensible and accessible form;</w:t>
      </w:r>
    </w:p>
    <w:p w14:paraId="6010844A" w14:textId="77777777" w:rsidR="00CD5946" w:rsidRDefault="00000000">
      <w:pPr>
        <w:spacing w:after="50"/>
        <w:ind w:left="760" w:hanging="300"/>
      </w:pPr>
      <w:r>
        <w:rPr>
          <w:rFonts w:ascii="Arial" w:eastAsia="Arial" w:hAnsi="Arial"/>
          <w:b/>
          <w:bCs/>
          <w:color w:val="1A1A1A"/>
          <w:sz w:val="20"/>
          <w:szCs w:val="20"/>
        </w:rPr>
        <w:t xml:space="preserve">(i)  </w:t>
      </w:r>
      <w:r>
        <w:rPr>
          <w:rFonts w:ascii="Arial" w:eastAsia="Arial" w:hAnsi="Arial"/>
          <w:color w:val="1A1A1A"/>
          <w:sz w:val="20"/>
          <w:szCs w:val="20"/>
        </w:rPr>
        <w:t>the distribution of the products minimises any risk to their quality and takes account of good distribution practice;</w:t>
      </w:r>
    </w:p>
    <w:p w14:paraId="74AFFB6C" w14:textId="77777777" w:rsidR="00CD5946" w:rsidRDefault="00000000">
      <w:pPr>
        <w:spacing w:after="50"/>
        <w:ind w:left="760" w:hanging="300"/>
      </w:pPr>
      <w:r>
        <w:rPr>
          <w:rFonts w:ascii="Arial" w:eastAsia="Arial" w:hAnsi="Arial"/>
          <w:b/>
          <w:bCs/>
          <w:color w:val="1A1A1A"/>
          <w:sz w:val="20"/>
          <w:szCs w:val="20"/>
        </w:rPr>
        <w:t xml:space="preserve">(j)  </w:t>
      </w:r>
      <w:r>
        <w:rPr>
          <w:rFonts w:ascii="Arial" w:eastAsia="Arial" w:hAnsi="Arial"/>
          <w:color w:val="1A1A1A"/>
          <w:sz w:val="20"/>
          <w:szCs w:val="20"/>
        </w:rPr>
        <w:t>a system is available to recall any batch of product from sale or supply;</w:t>
      </w:r>
    </w:p>
    <w:p w14:paraId="1E4D57B2" w14:textId="77777777" w:rsidR="00CD5946" w:rsidRDefault="00000000">
      <w:pPr>
        <w:spacing w:after="50"/>
        <w:ind w:left="760" w:hanging="300"/>
      </w:pPr>
      <w:r>
        <w:rPr>
          <w:rFonts w:ascii="Arial" w:eastAsia="Arial" w:hAnsi="Arial"/>
          <w:b/>
          <w:bCs/>
          <w:color w:val="1A1A1A"/>
          <w:sz w:val="20"/>
          <w:szCs w:val="20"/>
        </w:rPr>
        <w:t xml:space="preserve">(k)  </w:t>
      </w:r>
      <w:r>
        <w:rPr>
          <w:rFonts w:ascii="Arial" w:eastAsia="Arial" w:hAnsi="Arial"/>
          <w:color w:val="1A1A1A"/>
          <w:sz w:val="20"/>
          <w:szCs w:val="20"/>
        </w:rPr>
        <w:t>complaints about products are examined, the causes of quality defects investigated, and appropriate measures taken in respect of the defective products and to prevent recurrence.</w:t>
      </w:r>
    </w:p>
    <w:p w14:paraId="182A0C14" w14:textId="77777777" w:rsidR="00CD5946" w:rsidRDefault="00000000">
      <w:pPr>
        <w:pStyle w:val="Heading2"/>
      </w:pPr>
      <w:bookmarkStart w:id="48" w:name="__RefHeading___Toc9253_1729075678"/>
      <w:bookmarkEnd w:id="48"/>
      <w:r>
        <w:t>1.3  Quality Control</w:t>
      </w:r>
    </w:p>
    <w:p w14:paraId="201E0886" w14:textId="77777777" w:rsidR="00CD5946" w:rsidRDefault="00000000">
      <w:pPr>
        <w:spacing w:after="90"/>
        <w:ind w:left="300" w:hanging="300"/>
      </w:pPr>
      <w:r>
        <w:rPr>
          <w:rFonts w:ascii="Arial" w:eastAsia="Arial" w:hAnsi="Arial"/>
          <w:b/>
          <w:bCs/>
          <w:color w:val="15512F"/>
        </w:rPr>
        <w:t xml:space="preserve">1.3.1  </w:t>
      </w:r>
      <w:r>
        <w:rPr>
          <w:rFonts w:ascii="Arial" w:eastAsia="Arial" w:hAnsi="Arial"/>
          <w:color w:val="1A1A1A"/>
        </w:rPr>
        <w:t>Quality Control is that part of GMP concerned with sampling, specifications and testing, and with the organisation, documentation and release procedures which ensure that the necessary and relevant tests are carried out, and that materials are not released for use, nor products released for sale or supply, until their quality has been judged satisfactory.</w:t>
      </w:r>
    </w:p>
    <w:p w14:paraId="3B39CB6E" w14:textId="77777777" w:rsidR="00CD5946" w:rsidRDefault="00000000">
      <w:pPr>
        <w:spacing w:after="90"/>
        <w:ind w:left="300" w:hanging="300"/>
      </w:pPr>
      <w:r>
        <w:rPr>
          <w:rFonts w:ascii="Arial" w:eastAsia="Arial" w:hAnsi="Arial"/>
          <w:b/>
          <w:bCs/>
          <w:color w:val="15512F"/>
        </w:rPr>
        <w:t xml:space="preserve">1.3.2  </w:t>
      </w:r>
      <w:r>
        <w:rPr>
          <w:rFonts w:ascii="Arial" w:eastAsia="Arial" w:hAnsi="Arial"/>
          <w:color w:val="1A1A1A"/>
        </w:rPr>
        <w:t xml:space="preserve">The basic requirements of Quality Control are that adequate facilities, trained personnel and approved procedures are available for sampling and testing; approved methods are used; records are made demonstrating that the required sampling, inspecting and testing procedures were actually carried out; finished products contain active ingredients complying with the qualitative and quantitative composition of the marketing authorisation, of the required purity, in </w:t>
        <w:lastRenderedPageBreak/>
        <w:t>their proper container and correctly labelled; and that records are made of the results of inspection and that testing of materials and products is formally assessed against specification. Product assessment includes a review of relevant production documentation and an assessment of deviations from specified procedures.</w:t>
      </w:r>
    </w:p>
    <w:p w14:paraId="333E1121" w14:textId="77777777" w:rsidR="00CD5946" w:rsidRDefault="00000000">
      <w:pPr>
        <w:spacing w:after="90"/>
        <w:ind w:left="300" w:hanging="300"/>
      </w:pPr>
      <w:r>
        <w:rPr>
          <w:rFonts w:ascii="Arial" w:eastAsia="Arial" w:hAnsi="Arial"/>
          <w:b/>
          <w:bCs/>
          <w:color w:val="15512F"/>
        </w:rPr>
        <w:t xml:space="preserve">1.3.3  </w:t>
      </w:r>
      <w:r>
        <w:rPr>
          <w:rFonts w:ascii="Arial" w:eastAsia="Arial" w:hAnsi="Arial"/>
          <w:color w:val="1A1A1A"/>
        </w:rPr>
        <w:t>No batch of product shall be released for sale or supply prior to certification by an Authorised/Qualified Person that it is in accordance with the requirements of the relevant authorisation. Reference and/or retention samples shall be retained to permit future examination of the product where necessary, and retained in the final pack except where the pack is exceptionally large.</w:t>
      </w:r>
    </w:p>
    <w:p w14:paraId="6F23F47B" w14:textId="77777777" w:rsidR="00CD5946" w:rsidRDefault="00000000">
      <w:pPr>
        <w:pStyle w:val="Heading2"/>
      </w:pPr>
      <w:bookmarkStart w:id="49" w:name="__RefHeading___Toc9255_1729075678"/>
      <w:bookmarkEnd w:id="49"/>
      <w:r>
        <w:t>1.4  Product Quality Review</w:t>
      </w:r>
    </w:p>
    <w:p w14:paraId="5166F630" w14:textId="77777777" w:rsidR="00CD5946" w:rsidRDefault="00000000">
      <w:pPr>
        <w:spacing w:after="90"/>
        <w:ind w:left="300" w:hanging="300"/>
      </w:pPr>
      <w:r>
        <w:rPr>
          <w:rFonts w:ascii="Arial" w:eastAsia="Arial" w:hAnsi="Arial"/>
          <w:b/>
          <w:bCs/>
          <w:color w:val="15512F"/>
        </w:rPr>
        <w:t xml:space="preserve">1.4.1  </w:t>
      </w:r>
      <w:r>
        <w:rPr>
          <w:rFonts w:ascii="Arial" w:eastAsia="Arial" w:hAnsi="Arial"/>
          <w:color w:val="1A1A1A"/>
        </w:rPr>
        <w:t>Regular, periodic or rolling quality reviews of all authorised medicinal products, including export-only products, shall be conducted with the objective of verifying the consistency of the existing process, the appropriateness of current specifications for both starting materials and finished product, highlighting any trends, and identifying product and process improvements. Such reviews shall normally be conducted and documented at least annually, taking into account previous reviews.</w:t>
      </w:r>
    </w:p>
    <w:p w14:paraId="75FF71AA" w14:textId="77777777" w:rsidR="00CD5946" w:rsidRDefault="00000000">
      <w:pPr>
        <w:spacing w:after="90"/>
        <w:ind w:left="300" w:hanging="300"/>
      </w:pPr>
      <w:r>
        <w:rPr>
          <w:rFonts w:ascii="Arial" w:eastAsia="Arial" w:hAnsi="Arial"/>
          <w:b/>
          <w:bCs/>
          <w:color w:val="15512F"/>
        </w:rPr>
        <w:t xml:space="preserve">1.4.2  </w:t>
      </w:r>
      <w:r>
        <w:rPr>
          <w:rFonts w:ascii="Arial" w:eastAsia="Arial" w:hAnsi="Arial"/>
          <w:color w:val="1A1A1A"/>
        </w:rPr>
        <w:t>The review shall include at least: starting and packaging materials used, especially from new sources, and the supply-chain traceability of active substances; critical in-process controls and finished-product results; batches that failed to meet specification and their investigations; all significant deviations or non-conformances, the related investigations and the effectiveness of resultant CAPA; all changes to processes or analytical methods; marketing-authorisation variations submitted, granted or refused, including third-country dossiers; the results of the stability monitoring programme and any adverse trends; all quality-related returns, complaints and recalls and the investigations performed; the adequacy of any other previous product-process or equipment corrective actions; for new authorisations and variations, post-marketing commitments; the qualification status of relevant equipment and utilities (for example HVAC, water, compressed gases); and any contractual/technical-agreement arrangements to ensure they are up to date.</w:t>
      </w:r>
    </w:p>
    <w:p w14:paraId="63B88BFA" w14:textId="77777777" w:rsidR="00CD5946" w:rsidRDefault="00000000">
      <w:pPr>
        <w:spacing w:after="90"/>
        <w:ind w:left="300" w:hanging="300"/>
      </w:pPr>
      <w:r>
        <w:rPr>
          <w:rFonts w:ascii="Arial" w:eastAsia="Arial" w:hAnsi="Arial"/>
          <w:b/>
          <w:bCs/>
          <w:color w:val="15512F"/>
        </w:rPr>
        <w:t xml:space="preserve">1.4.3  </w:t>
      </w:r>
      <w:r>
        <w:rPr>
          <w:rFonts w:ascii="Arial" w:eastAsia="Arial" w:hAnsi="Arial"/>
          <w:color w:val="1A1A1A"/>
        </w:rPr>
        <w:t>The manufacturer and, where different, the marketing-authorisation holder shall evaluate the results of the review and assess whether corrective and preventive action or any revalidation should be undertaken under the PQS. Reasons for such actions shall be documented and the agreed actions completed effectively and in a timely manner. There shall be management procedures for the ongoing management and review of these actions, and their effectiveness verified during self-inspection. Quality reviews may be grouped by product type where scientifically justified.</w:t>
      </w:r>
    </w:p>
    <w:p w14:paraId="39DEF486" w14:textId="77777777" w:rsidR="00CD5946" w:rsidRDefault="00000000">
      <w:pPr>
        <w:pStyle w:val="Heading2"/>
      </w:pPr>
      <w:bookmarkStart w:id="50" w:name="__RefHeading___Toc9257_1729075678"/>
      <w:bookmarkEnd w:id="50"/>
      <w:r>
        <w:t>1.5  Quality Risk Management</w:t>
      </w:r>
    </w:p>
    <w:p w14:paraId="39579870" w14:textId="77777777" w:rsidR="00CD5946" w:rsidRDefault="00000000">
      <w:pPr>
        <w:spacing w:after="90"/>
        <w:ind w:left="300" w:hanging="300"/>
      </w:pPr>
      <w:r>
        <w:rPr>
          <w:rFonts w:ascii="Arial" w:eastAsia="Arial" w:hAnsi="Arial"/>
          <w:b/>
          <w:bCs/>
          <w:color w:val="15512F"/>
        </w:rPr>
        <w:t xml:space="preserve">1.5.1  </w:t>
      </w:r>
      <w:r>
        <w:rPr>
          <w:rFonts w:ascii="Arial" w:eastAsia="Arial" w:hAnsi="Arial"/>
          <w:color w:val="1A1A1A"/>
        </w:rPr>
        <w:t>Quality Risk Management (QRM) is a systematic process for the assessment, control, communication and review of risks to the quality of the medicinal product across the product lifecycle. It can be applied both proactively and retrospectively.</w:t>
      </w:r>
    </w:p>
    <w:p w14:paraId="707FDFC5" w14:textId="77777777" w:rsidR="00CD5946" w:rsidRDefault="00000000">
      <w:pPr>
        <w:spacing w:after="90"/>
        <w:ind w:left="300" w:hanging="300"/>
      </w:pPr>
      <w:r>
        <w:rPr>
          <w:rFonts w:ascii="Arial" w:eastAsia="Arial" w:hAnsi="Arial"/>
          <w:b/>
          <w:bCs/>
          <w:color w:val="15512F"/>
        </w:rPr>
        <w:t xml:space="preserve">1.5.2  </w:t>
      </w:r>
      <w:r>
        <w:rPr>
          <w:rFonts w:ascii="Arial" w:eastAsia="Arial" w:hAnsi="Arial"/>
          <w:color w:val="1A1A1A"/>
        </w:rPr>
        <w:t>The QRM system shall ensure that the evaluation of the risk to quality is based on scientific knowledge, experience with the process and ultimately links to the protection of the patient; and that the level of effort, formality and documentation of the QRM process is commensurate with the level of risk. Risk should not be transferred between stakeholders inappropriately, and subjectivity in risk assessment should be recognised and controlled.</w:t>
      </w:r>
    </w:p>
    <w:p w14:paraId="74B875A9" w14:textId="77777777" w:rsidR="00CD5946" w:rsidRDefault="00000000">
      <w:pPr>
        <w:spacing w:after="90"/>
        <w:ind w:left="300" w:hanging="300"/>
      </w:pPr>
      <w:r>
        <w:rPr>
          <w:rFonts w:ascii="Arial" w:eastAsia="Arial" w:hAnsi="Arial"/>
          <w:b/>
          <w:bCs/>
          <w:color w:val="15512F"/>
        </w:rPr>
        <w:lastRenderedPageBreak/>
        <w:t xml:space="preserve">1.5.3  </w:t>
      </w:r>
      <w:r>
        <w:rPr>
          <w:rFonts w:ascii="Arial" w:eastAsia="Arial" w:hAnsi="Arial"/>
          <w:color w:val="1A1A1A"/>
        </w:rPr>
        <w:t>Examples of the processes and applications of QRM, and of the risk-management tools that may be used, are given in the relevant ICH guideline (ICH Q9). QRM shall underpin decisions throughout this guideline, including the establishment of the Contamination Control Strategy, the qualification and validation programme, the control of cross-contamination, supplier and outsourcing controls, and the classification and handling of deviations and complaints.</w:t>
      </w:r>
    </w:p>
    <w:p w14:paraId="6386C037" w14:textId="77777777" w:rsidR="00CD5946" w:rsidRDefault="00000000">
      <w:pPr>
        <w:pBdr>
          <w:left w:val="single" w:sz="6" w:space="8" w:color="CFCFCF"/>
        </w:pBdr>
        <w:spacing w:before="20" w:after="140"/>
        <w:ind w:left="300"/>
      </w:pPr>
      <w:r>
        <w:rPr>
          <w:rFonts w:ascii="Arial" w:eastAsia="Arial" w:hAnsi="Arial"/>
          <w:b/>
          <w:bCs/>
          <w:color w:val="5A5A5A"/>
          <w:sz w:val="18"/>
          <w:szCs w:val="18"/>
        </w:rPr>
        <w:t xml:space="preserve">Note.  </w:t>
      </w:r>
      <w:r>
        <w:rPr>
          <w:rFonts w:ascii="Arial" w:eastAsia="Arial" w:hAnsi="Arial"/>
          <w:i/>
          <w:iCs/>
          <w:color w:val="5A5A5A"/>
          <w:sz w:val="18"/>
          <w:szCs w:val="18"/>
        </w:rPr>
        <w:t>The Product Quality Review (clause 1.4) is normally conducted and documented at least annually. Reviews may be grouped by product type (for example solid dosage forms, liquids, sterile products) where scientifically justified, provided the grouping does not obscure product-specific trends.</w:t>
      </w:r>
      <w:r>
        <w:br w:type="page"/>
      </w:r>
    </w:p>
    <w:p w14:paraId="4388E681" w14:textId="77777777" w:rsidR="00CD5946" w:rsidRDefault="00000000">
      <w:pPr>
        <w:spacing w:after="60"/>
        <w:jc w:val="both"/>
      </w:pPr>
      <w:r>
        <w:rPr>
          <w:rFonts w:ascii="Calibri" w:eastAsia="Calibri" w:hAnsi="Calibri"/>
          <w:b/>
          <w:color w:val="0E5A50"/>
          <w:sz w:val="20"/>
        </w:rPr>
        <w:lastRenderedPageBreak/>
        <w:t xml:space="preserve">1.5.4  </w:t>
      </w:r>
      <w:r>
        <w:rPr>
          <w:sz w:val="20"/>
        </w:rPr>
        <w:t>Quality risk management shall be embedded across the product lifecycle and integrated with knowledge management; the level of effort, formality and documentation of the QRM process shall be commensurate with the level of risk (ICH Q9(R1)), and subjectivity and the risk of failing to detect hazards shall be explicitly considered.</w:t>
      </w:r>
    </w:p>
    <w:p w14:paraId="75FFCB9C" w14:textId="77777777" w:rsidR="00CD5946" w:rsidRDefault="00000000">
      <w:pPr>
        <w:bidi/>
        <w:spacing w:before="20" w:after="60"/>
        <w:jc w:val="both"/>
      </w:pPr>
      <w:r>
        <w:rPr>
          <w:rFonts w:ascii="Arial" w:eastAsia="Arial" w:hAnsi="Arial"/>
          <w:sz w:val="20"/>
          <w:rtl/>
        </w:rPr>
        <w:t>تُدمَج إدارة مخاطر الجودة في كامل دورة حياة المنتج وتُربَط بإدارة المعرفة؛ ويتناسب مستوى الجهد والرسمية والتوثيق مع مستوى المخاطر (</w:t>
      </w:r>
      <w:r>
        <w:rPr>
          <w:rFonts w:ascii="Arial" w:eastAsia="Arial" w:hAnsi="Arial"/>
          <w:sz w:val="20"/>
        </w:rPr>
        <w:t>ICH Q9(R1)</w:t>
      </w:r>
      <w:r>
        <w:rPr>
          <w:rFonts w:ascii="Arial" w:eastAsia="Arial" w:hAnsi="Arial"/>
          <w:sz w:val="20"/>
          <w:rtl/>
        </w:rPr>
        <w:t xml:space="preserve">)، وتُراعى صراحةً الذاتية وخطر الإخفاق في كشف المخاطر.  </w:t>
      </w:r>
      <w:r>
        <w:rPr>
          <w:rFonts w:ascii="Calibri" w:eastAsia="Calibri" w:hAnsi="Calibri"/>
          <w:b/>
          <w:color w:val="14756A"/>
          <w:sz w:val="20"/>
        </w:rPr>
        <w:t>1.5.4</w:t>
      </w:r>
    </w:p>
    <w:p w14:paraId="71331D53" w14:textId="77777777" w:rsidR="00CD5946" w:rsidRDefault="00000000">
      <w:pPr>
        <w:spacing w:before="20" w:after="60"/>
        <w:jc w:val="both"/>
      </w:pPr>
      <w:r>
        <w:rPr>
          <w:rFonts w:ascii="Calibri" w:eastAsia="Calibri" w:hAnsi="Calibri"/>
          <w:b/>
          <w:color w:val="0E5A50"/>
          <w:sz w:val="20"/>
        </w:rPr>
        <w:t xml:space="preserve">1.5.5  </w:t>
      </w:r>
      <w:r>
        <w:rPr>
          <w:sz w:val="20"/>
        </w:rPr>
        <w:t>The outputs of risk management shall feed decision-making in the PQS, including control strategies, change management and the product quality review, and shall be reviewed for continued relevance.</w:t>
      </w:r>
    </w:p>
    <w:p w14:paraId="50F8EA85" w14:textId="77777777" w:rsidR="00CD5946" w:rsidRDefault="00000000">
      <w:pPr>
        <w:bidi/>
        <w:spacing w:before="20" w:after="60"/>
        <w:jc w:val="both"/>
      </w:pPr>
      <w:r>
        <w:rPr>
          <w:rFonts w:ascii="Arial" w:eastAsia="Arial" w:hAnsi="Arial"/>
          <w:sz w:val="20"/>
          <w:rtl/>
        </w:rPr>
        <w:t xml:space="preserve">تُغذّي مخرجات إدارة المخاطر اتخاذ القرار في نظام الجودة الصيدلاني، شاملةً استراتيجيات الضبط وإدارة التغيير ومراجعة جودة المنتج، وتُراجَع للتأكّد من استمرار ملاءمتها.  </w:t>
      </w:r>
      <w:r>
        <w:rPr>
          <w:rFonts w:ascii="Calibri" w:eastAsia="Calibri" w:hAnsi="Calibri"/>
          <w:b/>
          <w:color w:val="14756A"/>
          <w:sz w:val="20"/>
        </w:rPr>
        <w:t>1.5.5</w:t>
      </w:r>
    </w:p>
    <w:p w14:paraId="7849C369" w14:textId="77777777" w:rsidR="00CD5946" w:rsidRDefault="00000000">
      <w:pPr>
        <w:pStyle w:val="Heading1"/>
        <w:spacing w:before="0"/>
      </w:pPr>
      <w:bookmarkStart w:id="51" w:name="__RefHeading___Toc9259_1729075678"/>
      <w:bookmarkEnd w:id="51"/>
      <w:r>
        <w:t>Chapter 2 — Personnel</w:t>
      </w:r>
    </w:p>
    <w:p w14:paraId="40DA7DD8" w14:textId="77777777" w:rsidR="00CD5946" w:rsidRDefault="00000000">
      <w:pPr>
        <w:pBdr>
          <w:left w:val="single" w:sz="16" w:space="8" w:color="C8A24B"/>
        </w:pBdr>
        <w:spacing w:before="60" w:after="140"/>
        <w:ind w:left="160"/>
      </w:pPr>
      <w:r>
        <w:rPr>
          <w:rFonts w:ascii="Arial" w:eastAsia="Arial" w:hAnsi="Arial"/>
          <w:b/>
          <w:bCs/>
          <w:color w:val="B08C37"/>
        </w:rPr>
        <w:t xml:space="preserve">Principle.  </w:t>
      </w:r>
      <w:r>
        <w:rPr>
          <w:rFonts w:ascii="Arial" w:eastAsia="Arial" w:hAnsi="Arial"/>
          <w:color w:val="1A1A1A"/>
        </w:rPr>
        <w:t>The correct manufacture of medicinal products relies upon people. For this reason there shall be sufficient qualified personnel to carry out all the tasks for which the manufacturer is responsible. Individual responsibilities shall be clearly understood by the individuals concerned and recorded. All personnel shall be aware of the principles of GMP that affect them and receive initial and continuing training, including hygiene instruction, relevant to their needs.</w:t>
      </w:r>
    </w:p>
    <w:p w14:paraId="191A9420" w14:textId="77777777" w:rsidR="00CD5946" w:rsidRDefault="00000000">
      <w:pPr>
        <w:spacing w:before="20" w:after="140"/>
      </w:pPr>
      <w:r>
        <w:rPr>
          <w:rFonts w:ascii="Arial" w:eastAsia="Arial" w:hAnsi="Arial"/>
          <w:b/>
          <w:bCs/>
          <w:color w:val="B08C37"/>
          <w:sz w:val="17"/>
          <w:szCs w:val="17"/>
        </w:rPr>
        <w:t xml:space="preserve">Harmonised with: </w:t>
      </w:r>
      <w:r>
        <w:rPr>
          <w:rFonts w:ascii="Arial" w:eastAsia="Arial" w:hAnsi="Arial"/>
          <w:i/>
          <w:iCs/>
          <w:color w:val="5A5A5A"/>
          <w:sz w:val="17"/>
          <w:szCs w:val="17"/>
        </w:rPr>
        <w:t>EU GMP Part I, Chapter 2 · SFDA GMP Guide v4.4, Chapter 2 · WHO TRS 986, Annex 2 · US FDA 21 CFR 211 Subpart B</w:t>
      </w:r>
    </w:p>
    <w:p w14:paraId="2BB13C22" w14:textId="77777777" w:rsidR="00CD5946" w:rsidRDefault="00000000">
      <w:pPr>
        <w:pStyle w:val="Heading2"/>
      </w:pPr>
      <w:bookmarkStart w:id="52" w:name="__RefHeading___Toc9261_1729075678"/>
      <w:bookmarkEnd w:id="52"/>
      <w:r>
        <w:t>2.1  General</w:t>
      </w:r>
    </w:p>
    <w:p w14:paraId="495CBA25" w14:textId="77777777" w:rsidR="00CD5946" w:rsidRDefault="00000000">
      <w:pPr>
        <w:spacing w:after="90"/>
        <w:ind w:left="300" w:hanging="300"/>
      </w:pPr>
      <w:r>
        <w:rPr>
          <w:rFonts w:ascii="Arial" w:eastAsia="Arial" w:hAnsi="Arial"/>
          <w:b/>
          <w:bCs/>
          <w:color w:val="15512F"/>
        </w:rPr>
        <w:t xml:space="preserve">2.1.1  </w:t>
      </w:r>
      <w:r>
        <w:rPr>
          <w:rFonts w:ascii="Arial" w:eastAsia="Arial" w:hAnsi="Arial"/>
          <w:color w:val="1A1A1A"/>
        </w:rPr>
        <w:t>The manufacturer shall have an adequate number of personnel with the necessary qualifications and practical experience. Senior management shall determine and provide adequate and appropriate resources (human, financial, materials, facilities and equipment) to implement and maintain the PQS and continually improve its effectiveness. The responsibilities placed on any one individual shall not be so extensive as to present any risk to quality.</w:t>
      </w:r>
    </w:p>
    <w:p w14:paraId="055DF676" w14:textId="77777777" w:rsidR="00CD5946" w:rsidRDefault="00000000">
      <w:pPr>
        <w:spacing w:after="90"/>
        <w:ind w:left="300" w:hanging="300"/>
      </w:pPr>
      <w:r>
        <w:rPr>
          <w:rFonts w:ascii="Arial" w:eastAsia="Arial" w:hAnsi="Arial"/>
          <w:b/>
          <w:bCs/>
          <w:color w:val="15512F"/>
        </w:rPr>
        <w:t xml:space="preserve">2.1.2  </w:t>
      </w:r>
      <w:r>
        <w:rPr>
          <w:rFonts w:ascii="Arial" w:eastAsia="Arial" w:hAnsi="Arial"/>
          <w:color w:val="1A1A1A"/>
        </w:rPr>
        <w:t>The manufacturer shall have an organisation chart in which the relationships between the heads of Production, Quality Control and, where applicable, the head of Quality Assurance or the Quality Unit, and the position of the Authorised/Qualified Person(s) are clearly shown. People in responsible positions shall have specific duties recorded in written job descriptions and adequate authority to carry out their responsibilities. Their duties may be delegated to designated deputies of a satisfactory qualification level. There shall be no gaps or unexplained overlaps in the responsibilities of personnel concerned with the application of GMP.</w:t>
      </w:r>
    </w:p>
    <w:p w14:paraId="00C4B841" w14:textId="77777777" w:rsidR="00CD5946" w:rsidRDefault="00000000">
      <w:pPr>
        <w:pStyle w:val="Heading2"/>
      </w:pPr>
      <w:bookmarkStart w:id="53" w:name="__RefHeading___Toc9263_1729075678"/>
      <w:bookmarkEnd w:id="53"/>
      <w:r>
        <w:t>2.2  Key personnel</w:t>
      </w:r>
    </w:p>
    <w:p w14:paraId="15DD4F9C" w14:textId="77777777" w:rsidR="00CD5946" w:rsidRDefault="00000000">
      <w:pPr>
        <w:spacing w:after="90"/>
        <w:ind w:left="300" w:hanging="300"/>
      </w:pPr>
      <w:r>
        <w:rPr>
          <w:rFonts w:ascii="Arial" w:eastAsia="Arial" w:hAnsi="Arial"/>
          <w:b/>
          <w:bCs/>
          <w:color w:val="15512F"/>
        </w:rPr>
        <w:t xml:space="preserve">2.2.1  </w:t>
      </w:r>
      <w:r>
        <w:rPr>
          <w:rFonts w:ascii="Arial" w:eastAsia="Arial" w:hAnsi="Arial"/>
          <w:color w:val="1A1A1A"/>
        </w:rPr>
        <w:t>Key personnel include the Head of Production, the Head of Quality Control and, where at least one release responsibility is not undertaken by them, a sufficient number of Authorised/Qualified Persons designated for the purpose. Normally key posts shall be occupied by full-time personnel. The heads of Production and Quality Control shall be independent of one another.</w:t>
      </w:r>
    </w:p>
    <w:p w14:paraId="6643DDC6" w14:textId="77777777" w:rsidR="00CD5946" w:rsidRDefault="00000000">
      <w:pPr>
        <w:spacing w:after="90"/>
        <w:ind w:left="300" w:hanging="300"/>
      </w:pPr>
      <w:r>
        <w:rPr>
          <w:rFonts w:ascii="Arial" w:eastAsia="Arial" w:hAnsi="Arial"/>
          <w:b/>
          <w:bCs/>
          <w:color w:val="15512F"/>
        </w:rPr>
        <w:t xml:space="preserve">2.2.2  </w:t>
      </w:r>
      <w:r>
        <w:rPr>
          <w:rFonts w:ascii="Arial" w:eastAsia="Arial" w:hAnsi="Arial"/>
          <w:color w:val="1A1A1A"/>
        </w:rPr>
        <w:t>The Head of Production generally has responsibility to ensure products are produced and stored according to the appropriate documentation to obtain the required quality; to approve the instructions relating to production operations and ensure their strict implementation; to ensure production records are evaluated and signed by an authorised person; to ensure the qualification and maintenance of the department, premises and equipment; to ensure appropriate process validations are performed; and to ensure the required initial and continuing training of production personnel.</w:t>
      </w:r>
    </w:p>
    <w:p w14:paraId="549FF2EC" w14:textId="77777777" w:rsidR="00CD5946" w:rsidRDefault="00000000">
      <w:pPr>
        <w:spacing w:after="90"/>
        <w:ind w:left="300" w:hanging="300"/>
      </w:pPr>
      <w:r>
        <w:rPr>
          <w:rFonts w:ascii="Arial" w:eastAsia="Arial" w:hAnsi="Arial"/>
          <w:b/>
          <w:bCs/>
          <w:color w:val="15512F"/>
        </w:rPr>
        <w:lastRenderedPageBreak/>
        <w:t xml:space="preserve">2.2.3  </w:t>
      </w:r>
      <w:r>
        <w:rPr>
          <w:rFonts w:ascii="Arial" w:eastAsia="Arial" w:hAnsi="Arial"/>
          <w:color w:val="1A1A1A"/>
        </w:rPr>
        <w:t>The Head of Quality Control generally has responsibility to approve or reject starting materials, packaging materials, and intermediate, bulk and finished products; to ensure all necessary testing is carried out and the associated records evaluated; to approve specifications, sampling instructions, test methods and other QC procedures; to approve and monitor contract analysts; to ensure the qualification and maintenance of the department, premises and equipment; to ensure appropriate validations are performed; and to ensure the required initial and continuing training of QC personnel.</w:t>
      </w:r>
    </w:p>
    <w:p w14:paraId="17371ECE" w14:textId="77777777" w:rsidR="00CD5946" w:rsidRDefault="00000000">
      <w:pPr>
        <w:spacing w:after="90"/>
        <w:ind w:left="300" w:hanging="300"/>
      </w:pPr>
      <w:r>
        <w:rPr>
          <w:rFonts w:ascii="Arial" w:eastAsia="Arial" w:hAnsi="Arial"/>
          <w:b/>
          <w:bCs/>
          <w:color w:val="15512F"/>
        </w:rPr>
        <w:t xml:space="preserve">2.2.4  </w:t>
      </w:r>
      <w:r>
        <w:rPr>
          <w:rFonts w:ascii="Arial" w:eastAsia="Arial" w:hAnsi="Arial"/>
          <w:color w:val="1A1A1A"/>
        </w:rPr>
        <w:t>The Authorised/Qualified Person is responsible for certifying that each batch of finished product has been manufactured and checked in compliance with the laws in force and in accordance with the requirements of the marketing authorisation before release. The duties of the Authorised/Qualified Person are detailed in the annex on certification and batch release.</w:t>
      </w:r>
    </w:p>
    <w:p w14:paraId="38A57ADC" w14:textId="77777777" w:rsidR="00CD5946" w:rsidRDefault="00000000">
      <w:pPr>
        <w:pStyle w:val="Heading2"/>
      </w:pPr>
      <w:bookmarkStart w:id="54" w:name="__RefHeading___Toc9265_1729075678"/>
      <w:bookmarkEnd w:id="54"/>
      <w:r>
        <w:t>2.3  Training</w:t>
      </w:r>
    </w:p>
    <w:p w14:paraId="3F672256" w14:textId="77777777" w:rsidR="00CD5946" w:rsidRDefault="00000000">
      <w:pPr>
        <w:spacing w:after="90"/>
        <w:ind w:left="300" w:hanging="300"/>
      </w:pPr>
      <w:r>
        <w:rPr>
          <w:rFonts w:ascii="Arial" w:eastAsia="Arial" w:hAnsi="Arial"/>
          <w:b/>
          <w:bCs/>
          <w:color w:val="15512F"/>
        </w:rPr>
        <w:t xml:space="preserve">2.3.1  </w:t>
      </w:r>
      <w:r>
        <w:rPr>
          <w:rFonts w:ascii="Arial" w:eastAsia="Arial" w:hAnsi="Arial"/>
          <w:color w:val="1A1A1A"/>
        </w:rPr>
        <w:t>The manufacturer shall provide training for all personnel whose duties take them into production and storage areas or into control laboratories (including technical, maintenance and cleaning personnel), and for other personnel whose activities could affect product quality.</w:t>
      </w:r>
    </w:p>
    <w:p w14:paraId="729D23F7" w14:textId="77777777" w:rsidR="00CD5946" w:rsidRDefault="00000000">
      <w:pPr>
        <w:spacing w:after="90"/>
        <w:ind w:left="300" w:hanging="300"/>
      </w:pPr>
      <w:r>
        <w:rPr>
          <w:rFonts w:ascii="Arial" w:eastAsia="Arial" w:hAnsi="Arial"/>
          <w:b/>
          <w:bCs/>
          <w:color w:val="15512F"/>
        </w:rPr>
        <w:t xml:space="preserve">2.3.2  </w:t>
      </w:r>
      <w:r>
        <w:rPr>
          <w:rFonts w:ascii="Arial" w:eastAsia="Arial" w:hAnsi="Arial"/>
          <w:color w:val="1A1A1A"/>
        </w:rPr>
        <w:t>Besides basic training on the theory and practice of the PQS and GMP, newly recruited personnel shall receive training appropriate to the duties assigned. Continuing training shall also be given, and its practical effectiveness periodically assessed. Training programmes shall be available, approved by the Head of Production or Quality Control as appropriate, and training records kept. Competency to perform assigned tasks, not merely attendance, shall be assessed and recorded.</w:t>
      </w:r>
    </w:p>
    <w:p w14:paraId="1179BC0F" w14:textId="77777777" w:rsidR="00CD5946" w:rsidRDefault="00000000">
      <w:pPr>
        <w:spacing w:after="90"/>
        <w:ind w:left="300" w:hanging="300"/>
      </w:pPr>
      <w:r>
        <w:rPr>
          <w:rFonts w:ascii="Arial" w:eastAsia="Arial" w:hAnsi="Arial"/>
          <w:b/>
          <w:bCs/>
          <w:color w:val="15512F"/>
        </w:rPr>
        <w:t xml:space="preserve">2.3.3  </w:t>
      </w:r>
      <w:r>
        <w:rPr>
          <w:rFonts w:ascii="Arial" w:eastAsia="Arial" w:hAnsi="Arial"/>
          <w:color w:val="1A1A1A"/>
        </w:rPr>
        <w:t>Personnel working in areas where contamination is a hazard — for example clean areas or areas where highly active, toxic, infectious or sensitising materials are handled — shall be given specific training. A culture of data integrity shall be promoted: all personnel shall be trained to understand the importance of complete, consistent and accurate records, to report failures, and to refrain from any behaviour that could compromise data. Visitors and untrained personnel shall preferably not be admitted to production and quality-control areas; where unavoidable, they shall be informed in advance about the required personal hygiene, conduct and protective clothing, and shall be closely supervised.</w:t>
      </w:r>
    </w:p>
    <w:p w14:paraId="063052B6" w14:textId="77777777" w:rsidR="00CD5946" w:rsidRDefault="00000000">
      <w:pPr>
        <w:pStyle w:val="Heading2"/>
      </w:pPr>
      <w:bookmarkStart w:id="55" w:name="__RefHeading___Toc9267_1729075678"/>
      <w:bookmarkEnd w:id="55"/>
      <w:r>
        <w:t>2.4  Personnel hygiene</w:t>
      </w:r>
    </w:p>
    <w:p w14:paraId="06E1B9A2" w14:textId="77777777" w:rsidR="00CD5946" w:rsidRDefault="00000000">
      <w:pPr>
        <w:spacing w:after="90"/>
        <w:ind w:left="300" w:hanging="300"/>
      </w:pPr>
      <w:r>
        <w:rPr>
          <w:rFonts w:ascii="Arial" w:eastAsia="Arial" w:hAnsi="Arial"/>
          <w:b/>
          <w:bCs/>
          <w:color w:val="15512F"/>
        </w:rPr>
        <w:t xml:space="preserve">2.4.1  </w:t>
      </w:r>
      <w:r>
        <w:rPr>
          <w:rFonts w:ascii="Arial" w:eastAsia="Arial" w:hAnsi="Arial"/>
          <w:color w:val="1A1A1A"/>
        </w:rPr>
        <w:t>Detailed hygiene programmes shall be established and adapted to the different needs within the manufacturing area. They shall include procedures relating to the health, hygiene practices and clothing of personnel. These procedures shall be understood and followed in a very strict way by every person whose duties take them into the production and control areas.</w:t>
      </w:r>
    </w:p>
    <w:p w14:paraId="1C9B2118" w14:textId="77777777" w:rsidR="00CD5946" w:rsidRDefault="00000000">
      <w:pPr>
        <w:spacing w:after="90"/>
        <w:ind w:left="300" w:hanging="300"/>
      </w:pPr>
      <w:r>
        <w:rPr>
          <w:rFonts w:ascii="Arial" w:eastAsia="Arial" w:hAnsi="Arial"/>
          <w:b/>
          <w:bCs/>
          <w:color w:val="15512F"/>
        </w:rPr>
        <w:t xml:space="preserve">2.4.2  </w:t>
      </w:r>
      <w:r>
        <w:rPr>
          <w:rFonts w:ascii="Arial" w:eastAsia="Arial" w:hAnsi="Arial"/>
          <w:color w:val="1A1A1A"/>
        </w:rPr>
        <w:t>Steps shall be taken to ensure, as far as is practicable, that no person affected by an infectious disease or having open lesions on the exposed body surface is engaged in the manufacture of medicinal products. Every person entering the manufacturing areas shall wear protective garments appropriate to the operations carried out. Eating, drinking, chewing or smoking, and the storage of food, drink, smoking materials or personal medication, shall be prohibited in production and storage areas. Direct contact shall be avoided between the operator's hands and exposed product as well as any part of the equipment that comes into contact with the product.</w:t>
      </w:r>
    </w:p>
    <w:p w14:paraId="065153C3" w14:textId="77777777" w:rsidR="00CD5946" w:rsidRDefault="00000000">
      <w:pPr>
        <w:spacing w:after="90"/>
        <w:ind w:left="300" w:hanging="300"/>
      </w:pPr>
      <w:r>
        <w:rPr>
          <w:rFonts w:ascii="Arial" w:eastAsia="Arial" w:hAnsi="Arial"/>
          <w:b/>
          <w:bCs/>
          <w:color w:val="15512F"/>
        </w:rPr>
        <w:t xml:space="preserve">2.4.3  </w:t>
      </w:r>
      <w:r>
        <w:rPr>
          <w:rFonts w:ascii="Arial" w:eastAsia="Arial" w:hAnsi="Arial"/>
          <w:color w:val="1A1A1A"/>
        </w:rPr>
        <w:t>Health checks shall be carried out on recruitment and as required thereafter. Specific requirements for personnel engaged in sterile manufacture, including gowning qualification and microbiological monitoring of gowns and gloves, are set out in the annex on the manufacture of sterile products.</w:t>
      </w:r>
    </w:p>
    <w:p w14:paraId="79072299" w14:textId="77777777" w:rsidR="00CD5946" w:rsidRDefault="00000000">
      <w:pPr>
        <w:spacing w:before="20" w:after="60"/>
        <w:jc w:val="both"/>
      </w:pPr>
      <w:r>
        <w:rPr>
          <w:rFonts w:ascii="Calibri" w:eastAsia="Calibri" w:hAnsi="Calibri"/>
          <w:b/>
          <w:color w:val="0E5A50"/>
          <w:sz w:val="20"/>
        </w:rPr>
        <w:lastRenderedPageBreak/>
        <w:t xml:space="preserve">2.4.4  </w:t>
      </w:r>
      <w:r>
        <w:rPr>
          <w:sz w:val="20"/>
        </w:rPr>
        <w:t>Gowning for each manufacturing area shall be defined, and personnel entering controlled areas shall be qualified in gowning where the area grade requires it; periodic verification shall confirm continued competence.</w:t>
      </w:r>
    </w:p>
    <w:p w14:paraId="21C741B8" w14:textId="77777777" w:rsidR="00CD5946" w:rsidRDefault="00000000">
      <w:pPr>
        <w:bidi/>
        <w:spacing w:before="20" w:after="60"/>
        <w:jc w:val="both"/>
      </w:pPr>
      <w:r>
        <w:rPr>
          <w:rFonts w:ascii="Arial" w:eastAsia="Arial" w:hAnsi="Arial"/>
          <w:sz w:val="20"/>
          <w:rtl/>
        </w:rPr>
        <w:t xml:space="preserve">يُحدَّد الارتداء لكلّ منطقة تصنيع، ويُؤهَّل الداخلون إلى المناطق المضبوطة على الارتداء حيث تتطلّب درجة المنطقة ذلك، ويؤكِّد التحقّق الدوري استمرار الكفاءة.  </w:t>
      </w:r>
      <w:r>
        <w:rPr>
          <w:rFonts w:ascii="Calibri" w:eastAsia="Calibri" w:hAnsi="Calibri"/>
          <w:b/>
          <w:color w:val="14756A"/>
          <w:sz w:val="20"/>
        </w:rPr>
        <w:t>2.4.4</w:t>
      </w:r>
    </w:p>
    <w:p w14:paraId="7430E650" w14:textId="77777777" w:rsidR="00CD5946" w:rsidRDefault="00000000">
      <w:pPr>
        <w:spacing w:before="20" w:after="60"/>
        <w:jc w:val="both"/>
      </w:pPr>
      <w:r>
        <w:rPr>
          <w:rFonts w:ascii="Calibri" w:eastAsia="Calibri" w:hAnsi="Calibri"/>
          <w:b/>
          <w:color w:val="0E5A50"/>
          <w:sz w:val="20"/>
        </w:rPr>
        <w:t xml:space="preserve">2.4.5  </w:t>
      </w:r>
      <w:r>
        <w:rPr>
          <w:sz w:val="20"/>
        </w:rPr>
        <w:t>Procedures shall ensure that, so far as is practicable, no person affected by an infectious disease or with open lesions on exposed body surfaces is engaged in the manufacture of medicinal products.</w:t>
      </w:r>
    </w:p>
    <w:p w14:paraId="13008D4A" w14:textId="77777777" w:rsidR="00CD5946" w:rsidRDefault="00000000">
      <w:pPr>
        <w:bidi/>
        <w:spacing w:before="20" w:after="60"/>
        <w:jc w:val="both"/>
      </w:pPr>
      <w:r>
        <w:rPr>
          <w:rFonts w:ascii="Arial" w:eastAsia="Arial" w:hAnsi="Arial"/>
          <w:sz w:val="20"/>
          <w:rtl/>
        </w:rPr>
        <w:t xml:space="preserve">تضمن الإجراءات، قدر الإمكان، عدم مشاركة أيّ شخص مصاب بمرض مُعدٍ أو بجروح مكشوفة على أسطح الجسم المكشوفة في تصنيع المنتجات الدوائية.  </w:t>
      </w:r>
      <w:r>
        <w:rPr>
          <w:rFonts w:ascii="Calibri" w:eastAsia="Calibri" w:hAnsi="Calibri"/>
          <w:b/>
          <w:color w:val="14756A"/>
          <w:sz w:val="20"/>
        </w:rPr>
        <w:t>2.4.5</w:t>
      </w:r>
    </w:p>
    <w:p w14:paraId="17391E09" w14:textId="77777777" w:rsidR="00CD5946" w:rsidRDefault="00000000">
      <w:pPr>
        <w:pStyle w:val="Heading2"/>
      </w:pPr>
      <w:bookmarkStart w:id="56" w:name="__RefHeading___Toc9269_1729075678"/>
      <w:bookmarkEnd w:id="56"/>
      <w:r>
        <w:t>2.5  Consultants</w:t>
      </w:r>
    </w:p>
    <w:p w14:paraId="0542040F" w14:textId="77777777" w:rsidR="00CD5946" w:rsidRDefault="00000000">
      <w:pPr>
        <w:spacing w:after="90"/>
        <w:ind w:left="300" w:hanging="300"/>
      </w:pPr>
      <w:r>
        <w:rPr>
          <w:rFonts w:ascii="Arial" w:eastAsia="Arial" w:hAnsi="Arial"/>
          <w:b/>
          <w:bCs/>
          <w:color w:val="15512F"/>
        </w:rPr>
        <w:t xml:space="preserve">2.5.1  </w:t>
      </w:r>
      <w:r>
        <w:rPr>
          <w:rFonts w:ascii="Arial" w:eastAsia="Arial" w:hAnsi="Arial"/>
          <w:color w:val="1A1A1A"/>
        </w:rPr>
        <w:t>Consultants advising on the design, production, packaging, testing, storage or distribution of medicinal products shall have sufficient education, training and experience, or any combination thereof, to advise on the subject for which they are retained. Records shall be maintained stating the name, address, qualifications and the type of service provided by these consultants.</w:t>
      </w:r>
    </w:p>
    <w:p w14:paraId="50A25D2F" w14:textId="77777777" w:rsidR="00CD5946" w:rsidRDefault="00000000">
      <w:pPr>
        <w:pBdr>
          <w:left w:val="single" w:sz="6" w:space="8" w:color="CFCFCF"/>
        </w:pBdr>
        <w:spacing w:before="20" w:after="140"/>
        <w:ind w:left="300"/>
      </w:pPr>
      <w:r>
        <w:rPr>
          <w:rFonts w:ascii="Arial" w:eastAsia="Arial" w:hAnsi="Arial"/>
          <w:b/>
          <w:bCs/>
          <w:color w:val="5A5A5A"/>
          <w:sz w:val="18"/>
          <w:szCs w:val="18"/>
        </w:rPr>
        <w:t xml:space="preserve">Note.  </w:t>
      </w:r>
      <w:r>
        <w:rPr>
          <w:rFonts w:ascii="Arial" w:eastAsia="Arial" w:hAnsi="Arial"/>
          <w:i/>
          <w:iCs/>
          <w:color w:val="5A5A5A"/>
          <w:sz w:val="18"/>
          <w:szCs w:val="18"/>
        </w:rPr>
        <w:t>The roles of the Head of Production and the Head of Quality Control are independent of one another and shall not be vested in the same person. Certain shared responsibilities (for example for hygiene, training and the validation programme) may be exercised jointly. Key duties may be delegated to nominated deputies of satisfactory qualification.</w:t>
      </w:r>
      <w:r>
        <w:br w:type="page"/>
      </w:r>
    </w:p>
    <w:p w14:paraId="7FDDB494" w14:textId="77777777" w:rsidR="00CD5946" w:rsidRDefault="00000000">
      <w:pPr>
        <w:pStyle w:val="Heading1"/>
        <w:spacing w:before="0"/>
      </w:pPr>
      <w:bookmarkStart w:id="57" w:name="__RefHeading___Toc9271_1729075678"/>
      <w:bookmarkEnd w:id="57"/>
      <w:r>
        <w:lastRenderedPageBreak/>
        <w:t>Chapter 3 — Premises and Equipment</w:t>
      </w:r>
    </w:p>
    <w:p w14:paraId="7765902B" w14:textId="77777777" w:rsidR="00CD5946" w:rsidRDefault="00000000">
      <w:pPr>
        <w:pBdr>
          <w:left w:val="single" w:sz="16" w:space="8" w:color="C8A24B"/>
        </w:pBdr>
        <w:spacing w:before="60" w:after="140"/>
        <w:ind w:left="160"/>
      </w:pPr>
      <w:r>
        <w:rPr>
          <w:rFonts w:ascii="Arial" w:eastAsia="Arial" w:hAnsi="Arial"/>
          <w:b/>
          <w:bCs/>
          <w:color w:val="B08C37"/>
        </w:rPr>
        <w:t xml:space="preserve">Principle.  </w:t>
      </w:r>
      <w:r>
        <w:rPr>
          <w:rFonts w:ascii="Arial" w:eastAsia="Arial" w:hAnsi="Arial"/>
          <w:color w:val="1A1A1A"/>
        </w:rPr>
        <w:t>Premises and equipment shall be located, designed, constructed, adapted and maintained to suit the operations to be carried out. Their layout and design shall aim to minimise the risk of errors and permit effective cleaning and maintenance in order to avoid cross-contamination, build-up of dust or dirt, and, in general, any adverse effect on the quality of products.</w:t>
      </w:r>
    </w:p>
    <w:p w14:paraId="0E58ABF3" w14:textId="77777777" w:rsidR="00CD5946" w:rsidRDefault="00000000">
      <w:pPr>
        <w:spacing w:before="20" w:after="140"/>
      </w:pPr>
      <w:r>
        <w:rPr>
          <w:rFonts w:ascii="Arial" w:eastAsia="Arial" w:hAnsi="Arial"/>
          <w:b/>
          <w:bCs/>
          <w:color w:val="B08C37"/>
          <w:sz w:val="17"/>
          <w:szCs w:val="17"/>
        </w:rPr>
        <w:t xml:space="preserve">Harmonised with: </w:t>
      </w:r>
      <w:r>
        <w:rPr>
          <w:rFonts w:ascii="Arial" w:eastAsia="Arial" w:hAnsi="Arial"/>
          <w:i/>
          <w:iCs/>
          <w:color w:val="5A5A5A"/>
          <w:sz w:val="17"/>
          <w:szCs w:val="17"/>
        </w:rPr>
        <w:t>EU GMP Part I, Chapter 3 · EU GMP Annex 15 · SFDA GMP Guide v4.4, Chapter 3 · ISO 14644 · US FDA 21 CFR 211 Subpart C</w:t>
      </w:r>
    </w:p>
    <w:p w14:paraId="7AC93329" w14:textId="77777777" w:rsidR="00CD5946" w:rsidRDefault="00000000">
      <w:pPr>
        <w:pStyle w:val="Heading2"/>
      </w:pPr>
      <w:bookmarkStart w:id="58" w:name="__RefHeading___Toc9273_1729075678"/>
      <w:bookmarkEnd w:id="58"/>
      <w:r>
        <w:t>3.1  Premises — general</w:t>
      </w:r>
    </w:p>
    <w:p w14:paraId="13BC9A58" w14:textId="77777777" w:rsidR="00CD5946" w:rsidRDefault="00000000">
      <w:pPr>
        <w:spacing w:after="90"/>
        <w:ind w:left="300" w:hanging="300"/>
      </w:pPr>
      <w:r>
        <w:rPr>
          <w:rFonts w:ascii="Arial" w:eastAsia="Arial" w:hAnsi="Arial"/>
          <w:b/>
          <w:bCs/>
          <w:color w:val="15512F"/>
        </w:rPr>
        <w:t xml:space="preserve">3.1.1  </w:t>
      </w:r>
      <w:r>
        <w:rPr>
          <w:rFonts w:ascii="Arial" w:eastAsia="Arial" w:hAnsi="Arial"/>
          <w:color w:val="1A1A1A"/>
        </w:rPr>
        <w:t>Premises shall be situated in an environment that, considered together with measures to protect the manufacture, presents minimal risk of causing contamination of materials or products. Premises shall be carefully maintained, with repair and maintenance operations presenting no hazard to the quality of products. They shall be cleaned and, where applicable, disinfected according to detailed written procedures.</w:t>
      </w:r>
    </w:p>
    <w:p w14:paraId="4579CB8E" w14:textId="77777777" w:rsidR="00CD5946" w:rsidRDefault="00000000">
      <w:pPr>
        <w:spacing w:after="90"/>
        <w:ind w:left="300" w:hanging="300"/>
      </w:pPr>
      <w:r>
        <w:rPr>
          <w:rFonts w:ascii="Arial" w:eastAsia="Arial" w:hAnsi="Arial"/>
          <w:b/>
          <w:bCs/>
          <w:color w:val="15512F"/>
        </w:rPr>
        <w:t xml:space="preserve">3.1.2  </w:t>
      </w:r>
      <w:r>
        <w:rPr>
          <w:rFonts w:ascii="Arial" w:eastAsia="Arial" w:hAnsi="Arial"/>
          <w:color w:val="1A1A1A"/>
        </w:rPr>
        <w:t>Lighting, temperature, humidity and ventilation shall be appropriate and such that they do not adversely affect, directly or indirectly, the medicinal products during their manufacture and storage, or the accurate functioning of equipment. Premises shall be designed and equipped so as to afford maximum protection against the entry of insects or other animals. Steps shall be taken to prevent the entry of unauthorised people; production, storage and quality-control areas shall not be used as a right of way by personnel who do not work in them.</w:t>
      </w:r>
    </w:p>
    <w:p w14:paraId="6C82D928" w14:textId="77777777" w:rsidR="00CD5946" w:rsidRDefault="00000000">
      <w:pPr>
        <w:pStyle w:val="Heading2"/>
      </w:pPr>
      <w:bookmarkStart w:id="59" w:name="__RefHeading___Toc9275_1729075678"/>
      <w:bookmarkEnd w:id="59"/>
      <w:r>
        <w:t>3.2  Production area</w:t>
      </w:r>
    </w:p>
    <w:p w14:paraId="72D1B3D0" w14:textId="77777777" w:rsidR="00CD5946" w:rsidRDefault="00000000">
      <w:pPr>
        <w:spacing w:after="90"/>
        <w:ind w:left="300" w:hanging="300"/>
      </w:pPr>
      <w:r>
        <w:rPr>
          <w:rFonts w:ascii="Arial" w:eastAsia="Arial" w:hAnsi="Arial"/>
          <w:b/>
          <w:bCs/>
          <w:color w:val="15512F"/>
        </w:rPr>
        <w:t xml:space="preserve">3.2.1  </w:t>
      </w:r>
      <w:r>
        <w:rPr>
          <w:rFonts w:ascii="Arial" w:eastAsia="Arial" w:hAnsi="Arial"/>
          <w:color w:val="1A1A1A"/>
        </w:rPr>
        <w:t>Cross-contamination shall be prevented for all products by appropriate design and operation of manufacturing facilities. The measures to prevent cross-contamination shall be commensurate with the risks, determined using Quality Risk Management principles. Where the risk cannot be adequately controlled by operational and/or technical measures, dedicated facilities and equipment shall be used (for example for certain highly sensitising materials such as some penicillins, or biological preparations such as live micro-organisms), or the campaign manufacture with appropriate cleaning verified to a health-based exposure limit shall be justified.</w:t>
      </w:r>
    </w:p>
    <w:p w14:paraId="71EC1C22" w14:textId="77777777" w:rsidR="00CD5946" w:rsidRDefault="00000000">
      <w:pPr>
        <w:spacing w:after="90"/>
        <w:ind w:left="300" w:hanging="300"/>
      </w:pPr>
      <w:r>
        <w:rPr>
          <w:rFonts w:ascii="Arial" w:eastAsia="Arial" w:hAnsi="Arial"/>
          <w:b/>
          <w:bCs/>
          <w:color w:val="15512F"/>
        </w:rPr>
        <w:t xml:space="preserve">3.2.2  </w:t>
      </w:r>
      <w:r>
        <w:rPr>
          <w:rFonts w:ascii="Arial" w:eastAsia="Arial" w:hAnsi="Arial"/>
          <w:color w:val="1A1A1A"/>
        </w:rPr>
        <w:t>Premises should normally be laid out so that production can take place in areas connected in a logical order corresponding to the sequence of operations and to the requisite cleanliness levels. The adequacy of the working and in-process storage space shall permit the orderly and logical positioning of equipment and materials so as to minimise the risk of confusion between different products or their components, to avoid cross-contamination, and to minimise the risk of omission or wrong application of any of the manufacturing or control steps.</w:t>
      </w:r>
    </w:p>
    <w:p w14:paraId="0A004203" w14:textId="77777777" w:rsidR="00CD5946" w:rsidRDefault="00000000">
      <w:pPr>
        <w:spacing w:after="90"/>
        <w:ind w:left="300" w:hanging="300"/>
      </w:pPr>
      <w:r>
        <w:rPr>
          <w:rFonts w:ascii="Arial" w:eastAsia="Arial" w:hAnsi="Arial"/>
          <w:b/>
          <w:bCs/>
          <w:color w:val="15512F"/>
        </w:rPr>
        <w:t xml:space="preserve">3.2.3  </w:t>
      </w:r>
      <w:r>
        <w:rPr>
          <w:rFonts w:ascii="Arial" w:eastAsia="Arial" w:hAnsi="Arial"/>
          <w:color w:val="1A1A1A"/>
        </w:rPr>
        <w:t>Where starting and primary packaging materials, intermediate or bulk products are exposed to the environment, interior surfaces (walls, floors and ceilings) shall be smooth, free from cracks and open joints, shall not shed particulate matter, and shall permit easy and effective cleaning and, if necessary, disinfection. Pipework, light fittings, ventilation points and other services shall be designed and sited to avoid the creation of recesses difficult to clean. Drains shall be of adequate size and, where connected directly to a sewer, fitted with effective traps. Production areas shall be effectively ventilated with air-control facilities (including temperature and, where necessary, humidity and filtration) appropriate to the products handled, the operations and the external environment.</w:t>
      </w:r>
    </w:p>
    <w:p w14:paraId="46F111BB" w14:textId="77777777" w:rsidR="00CD5946" w:rsidRDefault="00000000">
      <w:pPr>
        <w:pStyle w:val="Heading2"/>
      </w:pPr>
      <w:bookmarkStart w:id="60" w:name="__RefHeading___Toc9277_1729075678"/>
      <w:bookmarkEnd w:id="60"/>
      <w:r>
        <w:lastRenderedPageBreak/>
        <w:t>3.3  Storage areas</w:t>
      </w:r>
    </w:p>
    <w:p w14:paraId="294205F5" w14:textId="77777777" w:rsidR="00CD5946" w:rsidRDefault="00000000">
      <w:pPr>
        <w:spacing w:after="90"/>
        <w:ind w:left="300" w:hanging="300"/>
      </w:pPr>
      <w:r>
        <w:rPr>
          <w:rFonts w:ascii="Arial" w:eastAsia="Arial" w:hAnsi="Arial"/>
          <w:b/>
          <w:bCs/>
          <w:color w:val="15512F"/>
        </w:rPr>
        <w:t xml:space="preserve">3.3.1  </w:t>
      </w:r>
      <w:r>
        <w:rPr>
          <w:rFonts w:ascii="Arial" w:eastAsia="Arial" w:hAnsi="Arial"/>
          <w:color w:val="1A1A1A"/>
        </w:rPr>
        <w:t>Storage areas shall be of sufficient capacity to allow orderly storage of the various categories of materials and products: starting and packaging materials, intermediate, bulk and finished products, products in quarantine, and released, rejected, returned or recalled products. They shall be designed or adapted to ensure good storage conditions; in particular they shall be clean, dry and maintained within acceptable temperature limits, monitored and recorded where required. Where special storage conditions are required (for example temperature, humidity), these shall be provided, checked and monitored.</w:t>
      </w:r>
    </w:p>
    <w:p w14:paraId="64EB455E" w14:textId="77777777" w:rsidR="00CD5946" w:rsidRDefault="00000000">
      <w:pPr>
        <w:spacing w:after="90"/>
        <w:ind w:left="300" w:hanging="300"/>
      </w:pPr>
      <w:r>
        <w:rPr>
          <w:rFonts w:ascii="Arial" w:eastAsia="Arial" w:hAnsi="Arial"/>
          <w:b/>
          <w:bCs/>
          <w:color w:val="15512F"/>
        </w:rPr>
        <w:t xml:space="preserve">3.3.2  </w:t>
      </w:r>
      <w:r>
        <w:rPr>
          <w:rFonts w:ascii="Arial" w:eastAsia="Arial" w:hAnsi="Arial"/>
          <w:color w:val="1A1A1A"/>
        </w:rPr>
        <w:t>Receiving and dispatch bays shall protect materials and products from the weather. Where quarantine status is ensured by storage in separate areas, these areas shall be clearly marked and their access restricted to authorised personnel. Any system replacing physical quarantine shall give equivalent security. There shall normally be a separate sampling area for starting materials; if sampling is performed in the storage area, it shall be conducted so as to prevent contamination or cross-contamination. Segregated areas shall be provided for the storage of rejected, recalled or returned materials or products.</w:t>
      </w:r>
    </w:p>
    <w:p w14:paraId="30D11E49" w14:textId="77777777" w:rsidR="00CD5946" w:rsidRDefault="00000000">
      <w:pPr>
        <w:pStyle w:val="Heading2"/>
      </w:pPr>
      <w:bookmarkStart w:id="61" w:name="__RefHeading___Toc9279_1729075678"/>
      <w:bookmarkEnd w:id="61"/>
      <w:r>
        <w:t>3.4  Quality-control areas</w:t>
      </w:r>
    </w:p>
    <w:p w14:paraId="6183A904" w14:textId="77777777" w:rsidR="00CD5946" w:rsidRDefault="00000000">
      <w:pPr>
        <w:spacing w:after="90"/>
        <w:ind w:left="300" w:hanging="300"/>
      </w:pPr>
      <w:r>
        <w:rPr>
          <w:rFonts w:ascii="Arial" w:eastAsia="Arial" w:hAnsi="Arial"/>
          <w:b/>
          <w:bCs/>
          <w:color w:val="15512F"/>
        </w:rPr>
        <w:t xml:space="preserve">3.4.1  </w:t>
      </w:r>
      <w:r>
        <w:rPr>
          <w:rFonts w:ascii="Arial" w:eastAsia="Arial" w:hAnsi="Arial"/>
          <w:color w:val="1A1A1A"/>
        </w:rPr>
        <w:t>Quality-control laboratories shall normally be separated from production areas. This is particularly important for laboratories for the control of biologicals, microbiologicals and radioisotopes, which shall also be separated from each other. Control laboratories shall be designed to suit the operations to be carried out, with sufficient space to avoid mix-ups and cross-contamination, and adequate suitable storage space for samples and records. Separate rooms may be necessary to protect sensitive instruments from vibration, electrical interference, humidity and the like.</w:t>
      </w:r>
    </w:p>
    <w:p w14:paraId="12F7D7C5" w14:textId="77777777" w:rsidR="00CD5946" w:rsidRDefault="00000000">
      <w:pPr>
        <w:pStyle w:val="Heading2"/>
      </w:pPr>
      <w:bookmarkStart w:id="62" w:name="__RefHeading___Toc9281_1729075678"/>
      <w:bookmarkEnd w:id="62"/>
      <w:r>
        <w:t>3.5  Ancillary areas</w:t>
      </w:r>
    </w:p>
    <w:p w14:paraId="491D67D3" w14:textId="77777777" w:rsidR="00CD5946" w:rsidRDefault="00000000">
      <w:pPr>
        <w:spacing w:after="90"/>
        <w:ind w:left="300" w:hanging="300"/>
      </w:pPr>
      <w:r>
        <w:rPr>
          <w:rFonts w:ascii="Arial" w:eastAsia="Arial" w:hAnsi="Arial"/>
          <w:b/>
          <w:bCs/>
          <w:color w:val="15512F"/>
        </w:rPr>
        <w:t xml:space="preserve">3.5.1  </w:t>
      </w:r>
      <w:r>
        <w:rPr>
          <w:rFonts w:ascii="Arial" w:eastAsia="Arial" w:hAnsi="Arial"/>
          <w:color w:val="1A1A1A"/>
        </w:rPr>
        <w:t>Rest and refreshment rooms shall be separate from manufacturing and control areas. Facilities for changing clothes, washing and toilet purposes shall be easily accessible and appropriate for the number of users; toilets shall not communicate directly with production or storage areas. Maintenance workshops shall as far as possible be separated from production areas. Animal houses shall be well isolated from other areas, with separate entrance and air-handling facilities.</w:t>
      </w:r>
    </w:p>
    <w:p w14:paraId="0824D988" w14:textId="77777777" w:rsidR="00CD5946" w:rsidRDefault="00000000">
      <w:pPr>
        <w:pStyle w:val="Heading2"/>
      </w:pPr>
      <w:bookmarkStart w:id="63" w:name="__RefHeading___Toc9283_1729075678"/>
      <w:bookmarkEnd w:id="63"/>
      <w:r>
        <w:t>3.6  Equipment</w:t>
      </w:r>
    </w:p>
    <w:p w14:paraId="08B9DBA6" w14:textId="77777777" w:rsidR="00CD5946" w:rsidRDefault="00000000">
      <w:pPr>
        <w:spacing w:after="90"/>
        <w:ind w:left="300" w:hanging="300"/>
      </w:pPr>
      <w:r>
        <w:rPr>
          <w:rFonts w:ascii="Arial" w:eastAsia="Arial" w:hAnsi="Arial"/>
          <w:b/>
          <w:bCs/>
          <w:color w:val="15512F"/>
        </w:rPr>
        <w:t xml:space="preserve">3.6.1  </w:t>
      </w:r>
      <w:r>
        <w:rPr>
          <w:rFonts w:ascii="Arial" w:eastAsia="Arial" w:hAnsi="Arial"/>
          <w:color w:val="1A1A1A"/>
        </w:rPr>
        <w:t>Manufacturing equipment shall be designed, located and maintained to suit its intended purpose. Repair and maintenance operations shall not present any hazard to the quality of the products. Equipment shall be designed so that it can be easily and thoroughly cleaned according to detailed written procedures and kept clean and dry. Washing and cleaning equipment shall be chosen and used so as not to be a source of contamination.</w:t>
      </w:r>
    </w:p>
    <w:p w14:paraId="5D2C2D58" w14:textId="77777777" w:rsidR="00CD5946" w:rsidRDefault="00000000">
      <w:pPr>
        <w:spacing w:after="90"/>
        <w:ind w:left="300" w:hanging="300"/>
      </w:pPr>
      <w:r>
        <w:rPr>
          <w:rFonts w:ascii="Arial" w:eastAsia="Arial" w:hAnsi="Arial"/>
          <w:b/>
          <w:bCs/>
          <w:color w:val="15512F"/>
        </w:rPr>
        <w:t xml:space="preserve">3.6.2  </w:t>
      </w:r>
      <w:r>
        <w:rPr>
          <w:rFonts w:ascii="Arial" w:eastAsia="Arial" w:hAnsi="Arial"/>
          <w:color w:val="1A1A1A"/>
        </w:rPr>
        <w:t>Equipment shall be installed in such a way as to prevent any risk of error or contamination. Production equipment shall not present any hazard to the products: parts of production equipment that come into contact with the product shall not be reactive, additive or absorptive to an extent that would affect product quality. Defective equipment shall, if possible, be removed from production and quality-control areas, or at least clearly labelled as defective.</w:t>
      </w:r>
    </w:p>
    <w:p w14:paraId="02D47219" w14:textId="77777777" w:rsidR="00CD5946" w:rsidRDefault="00000000">
      <w:pPr>
        <w:spacing w:after="90"/>
        <w:ind w:left="300" w:hanging="300"/>
      </w:pPr>
      <w:r>
        <w:rPr>
          <w:rFonts w:ascii="Arial" w:eastAsia="Arial" w:hAnsi="Arial"/>
          <w:b/>
          <w:bCs/>
          <w:color w:val="15512F"/>
        </w:rPr>
        <w:t xml:space="preserve">3.6.3  </w:t>
      </w:r>
      <w:r>
        <w:rPr>
          <w:rFonts w:ascii="Arial" w:eastAsia="Arial" w:hAnsi="Arial"/>
          <w:color w:val="1A1A1A"/>
        </w:rPr>
        <w:t xml:space="preserve">Measuring, weighing, recording and control equipment shall be calibrated and checked at defined intervals by appropriate methods, traceable to national or international standards, and records of these tests maintained. Fixed pipework shall be clearly labelled to indicate the </w:t>
        <w:lastRenderedPageBreak/>
        <w:t>contents and, where applicable, the direction of flow. Equipment and utilities shall be qualified through a documented lifecycle (design, installation, operational and performance qualification) in accordance with the annex on qualification and validation, and requalified following significant change.</w:t>
      </w:r>
    </w:p>
    <w:p w14:paraId="2B29D67D" w14:textId="77777777" w:rsidR="00CD5946" w:rsidRDefault="00000000">
      <w:pPr>
        <w:pBdr>
          <w:left w:val="single" w:sz="6" w:space="8" w:color="CFCFCF"/>
        </w:pBdr>
        <w:spacing w:before="20" w:after="140"/>
        <w:ind w:left="300"/>
      </w:pPr>
      <w:r>
        <w:rPr>
          <w:rFonts w:ascii="Arial" w:eastAsia="Arial" w:hAnsi="Arial"/>
          <w:b/>
          <w:bCs/>
          <w:color w:val="5A5A5A"/>
          <w:sz w:val="18"/>
          <w:szCs w:val="18"/>
        </w:rPr>
        <w:t xml:space="preserve">Note.  </w:t>
      </w:r>
      <w:r>
        <w:rPr>
          <w:rFonts w:ascii="Arial" w:eastAsia="Arial" w:hAnsi="Arial"/>
          <w:i/>
          <w:iCs/>
          <w:color w:val="5A5A5A"/>
          <w:sz w:val="18"/>
          <w:szCs w:val="18"/>
        </w:rPr>
        <w:t>Example — dedicated facilities: separate, dedicated premises and equipment are required where the toxicological evaluation (HBEL) does not support the control of cross-contamination by technical and organisational measures alone — for instance certain highly sensitising materials (such as beta-lactams) and certain live or potent biological preparations.</w:t>
      </w:r>
      <w:r>
        <w:br w:type="page"/>
      </w:r>
    </w:p>
    <w:p w14:paraId="7F165618" w14:textId="77777777" w:rsidR="00CD5946" w:rsidRDefault="00000000">
      <w:pPr>
        <w:spacing w:after="60"/>
        <w:jc w:val="both"/>
      </w:pPr>
      <w:r>
        <w:rPr>
          <w:rFonts w:ascii="Calibri" w:eastAsia="Calibri" w:hAnsi="Calibri"/>
          <w:b/>
          <w:color w:val="0E5A50"/>
          <w:sz w:val="20"/>
        </w:rPr>
        <w:lastRenderedPageBreak/>
        <w:t xml:space="preserve">3.6.4  </w:t>
      </w:r>
      <w:r>
        <w:rPr>
          <w:sz w:val="20"/>
        </w:rPr>
        <w:t>Equipment shall be qualified and maintained under a planned programme; its cleaning, calibration and qualification status shall be readily identifiable, and defective equipment shall be removed from use or clearly labelled.</w:t>
      </w:r>
    </w:p>
    <w:p w14:paraId="16F1E203" w14:textId="77777777" w:rsidR="00CD5946" w:rsidRDefault="00000000">
      <w:pPr>
        <w:bidi/>
        <w:spacing w:before="20" w:after="60"/>
        <w:jc w:val="both"/>
      </w:pPr>
      <w:r>
        <w:rPr>
          <w:rFonts w:ascii="Arial" w:eastAsia="Arial" w:hAnsi="Arial"/>
          <w:sz w:val="20"/>
          <w:rtl/>
        </w:rPr>
        <w:t xml:space="preserve">تُؤهَّل المعدّات وتُصان وفق برنامج مخطَّط، وتكون حالة تنظيفها ومعايرتها وتأهيلها قابلة للتحديد بيسر، وتُسحَب المعدّات المعيبة من الاستخدام أو تُوسَم بوضوح.  </w:t>
      </w:r>
      <w:r>
        <w:rPr>
          <w:rFonts w:ascii="Calibri" w:eastAsia="Calibri" w:hAnsi="Calibri"/>
          <w:b/>
          <w:color w:val="14756A"/>
          <w:sz w:val="20"/>
        </w:rPr>
        <w:t>3.6.4</w:t>
      </w:r>
    </w:p>
    <w:p w14:paraId="58785A57" w14:textId="77777777" w:rsidR="00CD5946" w:rsidRDefault="00000000">
      <w:pPr>
        <w:spacing w:before="20" w:after="60"/>
        <w:jc w:val="both"/>
      </w:pPr>
      <w:r>
        <w:rPr>
          <w:rFonts w:ascii="Calibri" w:eastAsia="Calibri" w:hAnsi="Calibri"/>
          <w:b/>
          <w:color w:val="0E5A50"/>
          <w:sz w:val="20"/>
        </w:rPr>
        <w:t xml:space="preserve">3.6.5  </w:t>
      </w:r>
      <w:r>
        <w:rPr>
          <w:sz w:val="20"/>
        </w:rPr>
        <w:t>Measuring, weighing, recording and control equipment of critical importance shall be calibrated and checked at defined intervals by appropriate methods, with records retained.</w:t>
      </w:r>
    </w:p>
    <w:p w14:paraId="1C2E9FDD" w14:textId="77777777" w:rsidR="00CD5946" w:rsidRDefault="00000000">
      <w:pPr>
        <w:bidi/>
        <w:spacing w:before="20" w:after="60"/>
        <w:jc w:val="both"/>
      </w:pPr>
      <w:r>
        <w:rPr>
          <w:rFonts w:ascii="Arial" w:eastAsia="Arial" w:hAnsi="Arial"/>
          <w:sz w:val="20"/>
          <w:rtl/>
        </w:rPr>
        <w:t xml:space="preserve">تُعايَر معدّات القياس والوزن والتسجيل والضبط ذات الأهمية الحرجة وتُفحَص على فترات محدَّدة بطرائق مناسبة، مع حفظ السجلّات.  </w:t>
      </w:r>
      <w:r>
        <w:rPr>
          <w:rFonts w:ascii="Calibri" w:eastAsia="Calibri" w:hAnsi="Calibri"/>
          <w:b/>
          <w:color w:val="14756A"/>
          <w:sz w:val="20"/>
        </w:rPr>
        <w:t>3.6.5</w:t>
      </w:r>
    </w:p>
    <w:p w14:paraId="43B7961C" w14:textId="77777777" w:rsidR="00CD5946" w:rsidRDefault="00000000">
      <w:pPr>
        <w:pStyle w:val="Heading1"/>
        <w:spacing w:before="0"/>
      </w:pPr>
      <w:bookmarkStart w:id="64" w:name="__RefHeading___Toc9285_1729075678"/>
      <w:bookmarkEnd w:id="64"/>
      <w:r>
        <w:t>Chapter 4 — Documentation</w:t>
      </w:r>
    </w:p>
    <w:p w14:paraId="75068C2E" w14:textId="77777777" w:rsidR="00CD5946" w:rsidRDefault="00000000">
      <w:pPr>
        <w:pBdr>
          <w:left w:val="single" w:sz="16" w:space="8" w:color="C8A24B"/>
        </w:pBdr>
        <w:spacing w:before="60" w:after="140"/>
        <w:ind w:left="160"/>
      </w:pPr>
      <w:r>
        <w:rPr>
          <w:rFonts w:ascii="Arial" w:eastAsia="Arial" w:hAnsi="Arial"/>
          <w:b/>
          <w:bCs/>
          <w:color w:val="B08C37"/>
        </w:rPr>
        <w:t xml:space="preserve">Principle.  </w:t>
      </w:r>
      <w:r>
        <w:rPr>
          <w:rFonts w:ascii="Arial" w:eastAsia="Arial" w:hAnsi="Arial"/>
          <w:color w:val="1A1A1A"/>
        </w:rPr>
        <w:t>Good documentation constitutes an essential part of the quality assurance system and is key to operating in compliance with GMP. The various types of documents and media used shall be fully defined in the manufacturer's PQS. Documentation may exist in a variety of forms, including paper-based, electronic or photographic media. Its main objective is to establish, control, monitor and record all activities which directly or indirectly impact on all aspects of the quality of medicinal products. Records shall be made or completed at the time each action is taken and in such a way that all significant activities concerning the manufacture of medicinal products are traceable.</w:t>
      </w:r>
    </w:p>
    <w:p w14:paraId="173CC304" w14:textId="77777777" w:rsidR="00CD5946" w:rsidRDefault="00000000">
      <w:pPr>
        <w:spacing w:before="20" w:after="140"/>
      </w:pPr>
      <w:r>
        <w:rPr>
          <w:rFonts w:ascii="Arial" w:eastAsia="Arial" w:hAnsi="Arial"/>
          <w:b/>
          <w:bCs/>
          <w:color w:val="B08C37"/>
          <w:sz w:val="17"/>
          <w:szCs w:val="17"/>
        </w:rPr>
        <w:t xml:space="preserve">Harmonised with: </w:t>
      </w:r>
      <w:r>
        <w:rPr>
          <w:rFonts w:ascii="Arial" w:eastAsia="Arial" w:hAnsi="Arial"/>
          <w:i/>
          <w:iCs/>
          <w:color w:val="5A5A5A"/>
          <w:sz w:val="17"/>
          <w:szCs w:val="17"/>
        </w:rPr>
        <w:t>EU GMP Part I, Chapter 4 · PIC/S PI 041-1 · WHO TRS 1033, Annex 4 · SFDA GMP Guide v4.4, Chapter 4 · US FDA 21 CFR 211 Subpart J &amp; 21 CFR Part 11</w:t>
      </w:r>
    </w:p>
    <w:p w14:paraId="11121F23" w14:textId="77777777" w:rsidR="00CD5946" w:rsidRDefault="00000000">
      <w:pPr>
        <w:pStyle w:val="Heading2"/>
      </w:pPr>
      <w:bookmarkStart w:id="65" w:name="__RefHeading___Toc9287_1729075678"/>
      <w:bookmarkEnd w:id="65"/>
      <w:r>
        <w:t>4.1  Required GMP documentation</w:t>
      </w:r>
    </w:p>
    <w:p w14:paraId="7F413B68" w14:textId="77777777" w:rsidR="00CD5946" w:rsidRDefault="00000000">
      <w:pPr>
        <w:spacing w:after="90"/>
        <w:ind w:left="300" w:hanging="300"/>
      </w:pPr>
      <w:r>
        <w:rPr>
          <w:rFonts w:ascii="Arial" w:eastAsia="Arial" w:hAnsi="Arial"/>
          <w:b/>
          <w:bCs/>
          <w:color w:val="15512F"/>
        </w:rPr>
        <w:t xml:space="preserve">4.1.1  </w:t>
      </w:r>
      <w:r>
        <w:rPr>
          <w:rFonts w:ascii="Arial" w:eastAsia="Arial" w:hAnsi="Arial"/>
          <w:color w:val="1A1A1A"/>
        </w:rPr>
        <w:t>Instructions (directions, requirements) include specifications; manufacturing formulae, processing, packaging and testing instructions; procedures (standard operating procedures); protocols; technical agreements; and the Site Master File (see Part III.1). Records/reports include records, certificates of analysis, and reports. Different types of documents shall be defined in the PQS and the appropriate controls applied; the suitability of the media used (for example paper, electronic, hybrid) shall be considered with respect to the risk to data integrity throughout the retention period.</w:t>
      </w:r>
    </w:p>
    <w:p w14:paraId="0490FFBE" w14:textId="77777777" w:rsidR="00CD5946" w:rsidRDefault="00000000">
      <w:pPr>
        <w:pStyle w:val="Heading2"/>
      </w:pPr>
      <w:bookmarkStart w:id="66" w:name="__RefHeading___Toc9289_1729075678"/>
      <w:bookmarkEnd w:id="66"/>
      <w:r>
        <w:t>4.2  Generation and control of documentation</w:t>
      </w:r>
    </w:p>
    <w:p w14:paraId="49AFD259" w14:textId="77777777" w:rsidR="00CD5946" w:rsidRDefault="00000000">
      <w:pPr>
        <w:spacing w:after="90"/>
        <w:ind w:left="300" w:hanging="300"/>
      </w:pPr>
      <w:r>
        <w:rPr>
          <w:rFonts w:ascii="Arial" w:eastAsia="Arial" w:hAnsi="Arial"/>
          <w:b/>
          <w:bCs/>
          <w:color w:val="15512F"/>
        </w:rPr>
        <w:t xml:space="preserve">4.2.1  </w:t>
      </w:r>
      <w:r>
        <w:rPr>
          <w:rFonts w:ascii="Arial" w:eastAsia="Arial" w:hAnsi="Arial"/>
          <w:color w:val="1A1A1A"/>
        </w:rPr>
        <w:t>Documents shall be designed, prepared, reviewed and distributed with care. They shall comply with the relevant parts of the marketing-authorisation and product dossiers, as applicable. The reproduction of working documents from master documents shall not allow any error to be introduced through the reproduction process. Documents containing instructions shall be approved, signed and dated by appropriate and authorised persons; they shall have unambiguous contents and be uniquely identifiable, with an effective date defined.</w:t>
      </w:r>
    </w:p>
    <w:p w14:paraId="79256E41" w14:textId="77777777" w:rsidR="00CD5946" w:rsidRDefault="00000000">
      <w:pPr>
        <w:spacing w:after="90"/>
        <w:ind w:left="300" w:hanging="300"/>
      </w:pPr>
      <w:r>
        <w:rPr>
          <w:rFonts w:ascii="Arial" w:eastAsia="Arial" w:hAnsi="Arial"/>
          <w:b/>
          <w:bCs/>
          <w:color w:val="15512F"/>
        </w:rPr>
        <w:t xml:space="preserve">4.2.2  </w:t>
      </w:r>
      <w:r>
        <w:rPr>
          <w:rFonts w:ascii="Arial" w:eastAsia="Arial" w:hAnsi="Arial"/>
          <w:color w:val="1A1A1A"/>
        </w:rPr>
        <w:t>Documents shall be regularly reviewed and kept up to date. When a document has been revised, a system shall exist to prevent inadvertent use of superseded documents. Documents shall not be hand-written; where they require the entry of data, the entries shall be clear, legible and indelible, with sufficient space for such entries. The instructions to be followed shall be laid out in an orderly fashion and be easy to check; the title, nature and purpose of each document shall be clearly stated.</w:t>
      </w:r>
    </w:p>
    <w:p w14:paraId="2C03B038" w14:textId="77777777" w:rsidR="00CD5946" w:rsidRDefault="00000000">
      <w:pPr>
        <w:pStyle w:val="Heading2"/>
      </w:pPr>
      <w:bookmarkStart w:id="67" w:name="__RefHeading___Toc9291_1729075678"/>
      <w:bookmarkEnd w:id="67"/>
      <w:r>
        <w:t>4.3  Good documentation practices (data integrity)</w:t>
      </w:r>
    </w:p>
    <w:p w14:paraId="248C30E2" w14:textId="77777777" w:rsidR="00CD5946" w:rsidRDefault="00000000">
      <w:pPr>
        <w:spacing w:after="90"/>
        <w:ind w:left="300" w:hanging="300"/>
      </w:pPr>
      <w:r>
        <w:rPr>
          <w:rFonts w:ascii="Arial" w:eastAsia="Arial" w:hAnsi="Arial"/>
          <w:b/>
          <w:bCs/>
          <w:color w:val="15512F"/>
        </w:rPr>
        <w:t xml:space="preserve">4.3.1  </w:t>
      </w:r>
      <w:r>
        <w:rPr>
          <w:rFonts w:ascii="Arial" w:eastAsia="Arial" w:hAnsi="Arial"/>
          <w:color w:val="1A1A1A"/>
        </w:rPr>
        <w:t xml:space="preserve">Handwritten entries shall be made in clear, legible, indelible writing. Records shall be made or completed at the time each action is taken (contemporaneous). Any alteration to an entry on a document shall be signed and dated; the alteration shall permit the reading of the original </w:t>
        <w:lastRenderedPageBreak/>
        <w:t>information. Where appropriate, the reason for the alteration shall be recorded. Data shall be attributable, legible, contemporaneous, original and accurate (ALCOA), and, in addition, complete, consistent, enduring and available throughout the retention period (ALCOA+).</w:t>
      </w:r>
    </w:p>
    <w:p w14:paraId="313C0E17" w14:textId="77777777" w:rsidR="00CD5946" w:rsidRDefault="00000000">
      <w:pPr>
        <w:spacing w:after="90"/>
        <w:ind w:left="300" w:hanging="300"/>
      </w:pPr>
      <w:r>
        <w:rPr>
          <w:rFonts w:ascii="Arial" w:eastAsia="Arial" w:hAnsi="Arial"/>
          <w:b/>
          <w:bCs/>
          <w:color w:val="15512F"/>
        </w:rPr>
        <w:t xml:space="preserve">4.3.2  </w:t>
      </w:r>
      <w:r>
        <w:rPr>
          <w:rFonts w:ascii="Arial" w:eastAsia="Arial" w:hAnsi="Arial"/>
          <w:color w:val="1A1A1A"/>
        </w:rPr>
        <w:t>For records held electronically, controls shall be applied to ensure data integrity in accordance with the annex on computerised systems and applicable data-management guidance: unique user accounts and access controls; secure, time-stamped audit trails capturing creation, modification and deletion of data, which are reviewed; prevention of unauthorised changes to clocks, methods and configuration; validated systems; and verified, restorable backups. The selective recording, re-testing or reprocessing of data to obtain a desired result (“testing into compliance”) is prohibited; original data shall not be discarded or invalidated without a documented, scientifically justified investigation.</w:t>
      </w:r>
    </w:p>
    <w:p w14:paraId="67F566D7" w14:textId="77777777" w:rsidR="00CD5946" w:rsidRDefault="00000000">
      <w:pPr>
        <w:spacing w:before="20" w:after="60"/>
        <w:jc w:val="both"/>
      </w:pPr>
      <w:r>
        <w:rPr>
          <w:rFonts w:ascii="Calibri" w:eastAsia="Calibri" w:hAnsi="Calibri"/>
          <w:b/>
          <w:color w:val="0E5A50"/>
          <w:sz w:val="20"/>
        </w:rPr>
        <w:t xml:space="preserve">4.3.3  </w:t>
      </w:r>
      <w:r>
        <w:rPr>
          <w:sz w:val="20"/>
        </w:rPr>
        <w:t>Records shall satisfy the ALCOA+ principles (attributable, legible, contemporaneous, original, accurate, plus complete, consistent, enduring and available); good documentation practices shall apply equally to paper and electronic data.</w:t>
      </w:r>
    </w:p>
    <w:p w14:paraId="4C7721D1" w14:textId="77777777" w:rsidR="00CD5946" w:rsidRDefault="00000000">
      <w:pPr>
        <w:bidi/>
        <w:spacing w:before="20" w:after="60"/>
        <w:jc w:val="both"/>
      </w:pPr>
      <w:r>
        <w:rPr>
          <w:rFonts w:ascii="Arial" w:eastAsia="Arial" w:hAnsi="Arial"/>
          <w:sz w:val="20"/>
          <w:rtl/>
        </w:rPr>
        <w:t xml:space="preserve">تستوفي السجلّات مبادئ </w:t>
      </w:r>
      <w:r>
        <w:rPr>
          <w:rFonts w:ascii="Arial" w:eastAsia="Arial" w:hAnsi="Arial"/>
          <w:sz w:val="20"/>
        </w:rPr>
        <w:t>ALCOA</w:t>
      </w:r>
      <w:r>
        <w:rPr>
          <w:rFonts w:ascii="Arial" w:eastAsia="Arial" w:hAnsi="Arial"/>
          <w:sz w:val="20"/>
          <w:rtl/>
        </w:rPr>
        <w:t xml:space="preserve">+ (منسوبة، مقروءة، آنيّة، أصلية، دقيقة، وكاملة ومتّسقة ودائمة ومتاحة)، وتنطبق ممارسات التوثيق الجيدة على البيانات الورقية والإلكترونية على حدّ سواء.  </w:t>
      </w:r>
      <w:r>
        <w:rPr>
          <w:rFonts w:ascii="Calibri" w:eastAsia="Calibri" w:hAnsi="Calibri"/>
          <w:b/>
          <w:color w:val="14756A"/>
          <w:sz w:val="20"/>
        </w:rPr>
        <w:t>4.3.3</w:t>
      </w:r>
    </w:p>
    <w:p w14:paraId="1159355B" w14:textId="77777777" w:rsidR="00CD5946" w:rsidRDefault="00000000">
      <w:pPr>
        <w:spacing w:before="20" w:after="60"/>
        <w:jc w:val="both"/>
      </w:pPr>
      <w:r>
        <w:rPr>
          <w:rFonts w:ascii="Calibri" w:eastAsia="Calibri" w:hAnsi="Calibri"/>
          <w:b/>
          <w:color w:val="0E5A50"/>
          <w:sz w:val="20"/>
        </w:rPr>
        <w:t xml:space="preserve">4.3.4  </w:t>
      </w:r>
      <w:r>
        <w:rPr>
          <w:sz w:val="20"/>
        </w:rPr>
        <w:t>Audit trails for GMP-relevant electronic records shall be enabled, protected and reviewed at a frequency based on risk; the review of audit trails shall be part of the batch and periodic record review.</w:t>
      </w:r>
    </w:p>
    <w:p w14:paraId="2660A326" w14:textId="77777777" w:rsidR="00CD5946" w:rsidRDefault="00000000">
      <w:pPr>
        <w:bidi/>
        <w:spacing w:before="20" w:after="60"/>
        <w:jc w:val="both"/>
      </w:pPr>
      <w:r>
        <w:rPr>
          <w:rFonts w:ascii="Arial" w:eastAsia="Arial" w:hAnsi="Arial"/>
          <w:sz w:val="20"/>
          <w:rtl/>
        </w:rPr>
        <w:t xml:space="preserve">تُفعَّل مسارات التدقيق للسجلّات الإلكترونية ذات الصلة بالممارسات الجيدة وتُحمى وتُراجَع بوتيرة قائمة على المخاطر، وتكون مراجعتها جزءاً من مراجعة سجلّ التشغيلة والمراجعة الدورية.  </w:t>
      </w:r>
      <w:r>
        <w:rPr>
          <w:rFonts w:ascii="Calibri" w:eastAsia="Calibri" w:hAnsi="Calibri"/>
          <w:b/>
          <w:color w:val="14756A"/>
          <w:sz w:val="20"/>
        </w:rPr>
        <w:t>4.3.4</w:t>
      </w:r>
    </w:p>
    <w:p w14:paraId="645FC065" w14:textId="77777777" w:rsidR="00CD5946" w:rsidRDefault="00000000">
      <w:pPr>
        <w:pStyle w:val="Heading2"/>
      </w:pPr>
      <w:bookmarkStart w:id="68" w:name="__RefHeading___Toc9293_1729075678"/>
      <w:bookmarkEnd w:id="68"/>
      <w:r>
        <w:t>4.4  Retention of documents</w:t>
      </w:r>
    </w:p>
    <w:p w14:paraId="4864C97E" w14:textId="77777777" w:rsidR="00CD5946" w:rsidRDefault="00000000">
      <w:pPr>
        <w:spacing w:after="90"/>
        <w:ind w:left="300" w:hanging="300"/>
      </w:pPr>
      <w:r>
        <w:rPr>
          <w:rFonts w:ascii="Arial" w:eastAsia="Arial" w:hAnsi="Arial"/>
          <w:b/>
          <w:bCs/>
          <w:color w:val="15512F"/>
        </w:rPr>
        <w:t xml:space="preserve">4.4.1  </w:t>
      </w:r>
      <w:r>
        <w:rPr>
          <w:rFonts w:ascii="Arial" w:eastAsia="Arial" w:hAnsi="Arial"/>
          <w:color w:val="1A1A1A"/>
        </w:rPr>
        <w:t>Specific requirements apply to batch documentation, which shall be kept for at least one year after the expiry date of the batch to which it relates, or at least five years after certification of the batch by the Authorised/Qualified Person, whichever is the longer. Documents shall be retained for the period required and be readily available. Where retention is by electronic means, equivalent measures shall ensure that records remain complete, legible, accessible and protected against loss or alteration for the whole retention period.</w:t>
      </w:r>
    </w:p>
    <w:p w14:paraId="5D92C8B4" w14:textId="77777777" w:rsidR="00CD5946" w:rsidRDefault="00000000">
      <w:pPr>
        <w:pStyle w:val="Heading2"/>
      </w:pPr>
      <w:bookmarkStart w:id="69" w:name="__RefHeading___Toc9295_1729075678"/>
      <w:bookmarkEnd w:id="69"/>
      <w:r>
        <w:t>4.5  Specifications, formulae, instructions and records</w:t>
      </w:r>
    </w:p>
    <w:p w14:paraId="632A8ABD" w14:textId="77777777" w:rsidR="00CD5946" w:rsidRDefault="00000000">
      <w:pPr>
        <w:spacing w:after="90"/>
        <w:ind w:left="300" w:hanging="300"/>
      </w:pPr>
      <w:r>
        <w:rPr>
          <w:rFonts w:ascii="Arial" w:eastAsia="Arial" w:hAnsi="Arial"/>
          <w:b/>
          <w:bCs/>
          <w:color w:val="15512F"/>
        </w:rPr>
        <w:t xml:space="preserve">4.5.1  </w:t>
      </w:r>
      <w:r>
        <w:rPr>
          <w:rFonts w:ascii="Arial" w:eastAsia="Arial" w:hAnsi="Arial"/>
          <w:color w:val="1A1A1A"/>
        </w:rPr>
        <w:t>There shall be appropriately authorised and dated specifications for starting and packaging materials, and for intermediate, bulk and finished products. Formally authorised Manufacturing Formula and Processing Instructions shall exist for each product and batch size; Packaging Instructions shall exist for each product, pack size and type. Batch Processing Records and Batch Packaging Records shall be kept for each batch processed, based on the relevant parts of the currently approved instructions, and shall contain the information required to reconstruct the full history of the batch.</w:t>
      </w:r>
    </w:p>
    <w:p w14:paraId="72195D55" w14:textId="77777777" w:rsidR="00CD5946" w:rsidRDefault="00000000">
      <w:pPr>
        <w:spacing w:after="90"/>
        <w:ind w:left="300" w:hanging="300"/>
      </w:pPr>
      <w:r>
        <w:rPr>
          <w:rFonts w:ascii="Arial" w:eastAsia="Arial" w:hAnsi="Arial"/>
          <w:b/>
          <w:bCs/>
          <w:color w:val="15512F"/>
        </w:rPr>
        <w:t xml:space="preserve">4.5.2  </w:t>
      </w:r>
      <w:r>
        <w:rPr>
          <w:rFonts w:ascii="Arial" w:eastAsia="Arial" w:hAnsi="Arial"/>
          <w:color w:val="1A1A1A"/>
        </w:rPr>
        <w:t>Records shall include, as applicable: the name and batch number of the product; dates and times of the principal steps; the identity (initials/signature) of the operators who performed and, where appropriate, checked each significant step; the batch and analytical control numbers and quantities of each starting material actually weighed or measured; relevant processing operations and the major equipment used; the in-process controls performed and the results obtained; the product yield at relevant stages of manufacture; and notes on any special problems, including details, with signed authorisation, of any deviation from the instructions. Procedures and associated records shall exist for receipt, sampling, testing, equipment use, cleaning, calibration, environmental monitoring, and other GMP-relevant activities.</w:t>
      </w:r>
    </w:p>
    <w:p w14:paraId="521E7C91" w14:textId="77777777" w:rsidR="00CD5946" w:rsidRDefault="00000000">
      <w:pPr>
        <w:pBdr>
          <w:left w:val="single" w:sz="6" w:space="8" w:color="CFCFCF"/>
        </w:pBdr>
        <w:spacing w:before="20" w:after="140"/>
        <w:ind w:left="300"/>
      </w:pPr>
      <w:r>
        <w:rPr>
          <w:rFonts w:ascii="Arial" w:eastAsia="Arial" w:hAnsi="Arial"/>
          <w:b/>
          <w:bCs/>
          <w:color w:val="5A5A5A"/>
          <w:sz w:val="18"/>
          <w:szCs w:val="18"/>
        </w:rPr>
        <w:lastRenderedPageBreak/>
        <w:t xml:space="preserve">Note.  </w:t>
      </w:r>
      <w:r>
        <w:rPr>
          <w:rFonts w:ascii="Arial" w:eastAsia="Arial" w:hAnsi="Arial"/>
          <w:i/>
          <w:iCs/>
          <w:color w:val="5A5A5A"/>
          <w:sz w:val="18"/>
          <w:szCs w:val="18"/>
        </w:rPr>
        <w:t>The expectations of data integrity (ALCOA+) apply equally to paper, electronic and hybrid records. Hybrid arrangements — where a paper record and an electronic record together form the complete record — require particular control to ensure both elements are linked, contemporaneous and retained for the same period (see Annex 11).</w:t>
      </w:r>
      <w:r>
        <w:br w:type="page"/>
      </w:r>
    </w:p>
    <w:p w14:paraId="769D95B9" w14:textId="77777777" w:rsidR="00CD5946" w:rsidRDefault="00000000">
      <w:pPr>
        <w:pStyle w:val="Heading1"/>
        <w:spacing w:before="0"/>
      </w:pPr>
      <w:bookmarkStart w:id="70" w:name="__RefHeading___Toc9297_1729075678"/>
      <w:bookmarkEnd w:id="70"/>
      <w:r>
        <w:lastRenderedPageBreak/>
        <w:t>Chapter 5 — Production</w:t>
      </w:r>
    </w:p>
    <w:p w14:paraId="1685CC40" w14:textId="77777777" w:rsidR="00CD5946" w:rsidRDefault="00000000">
      <w:pPr>
        <w:pBdr>
          <w:left w:val="single" w:sz="16" w:space="8" w:color="C8A24B"/>
        </w:pBdr>
        <w:spacing w:before="60" w:after="140"/>
        <w:ind w:left="160"/>
      </w:pPr>
      <w:r>
        <w:rPr>
          <w:rFonts w:ascii="Arial" w:eastAsia="Arial" w:hAnsi="Arial"/>
          <w:b/>
          <w:bCs/>
          <w:color w:val="B08C37"/>
        </w:rPr>
        <w:t xml:space="preserve">Principle.  </w:t>
      </w:r>
      <w:r>
        <w:rPr>
          <w:rFonts w:ascii="Arial" w:eastAsia="Arial" w:hAnsi="Arial"/>
          <w:color w:val="1A1A1A"/>
        </w:rPr>
        <w:t>Production operations shall follow clearly defined procedures, comply with GMP in order to obtain products of the requisite quality, and be in accordance with the relevant manufacturing and marketing authorisations. Production shall be performed and supervised by competent people.</w:t>
      </w:r>
    </w:p>
    <w:p w14:paraId="25F97869" w14:textId="77777777" w:rsidR="00CD5946" w:rsidRDefault="00000000">
      <w:pPr>
        <w:spacing w:before="20" w:after="140"/>
      </w:pPr>
      <w:r>
        <w:rPr>
          <w:rFonts w:ascii="Arial" w:eastAsia="Arial" w:hAnsi="Arial"/>
          <w:b/>
          <w:bCs/>
          <w:color w:val="B08C37"/>
          <w:sz w:val="17"/>
          <w:szCs w:val="17"/>
        </w:rPr>
        <w:t xml:space="preserve">Harmonised with: </w:t>
      </w:r>
      <w:r>
        <w:rPr>
          <w:rFonts w:ascii="Arial" w:eastAsia="Arial" w:hAnsi="Arial"/>
          <w:i/>
          <w:iCs/>
          <w:color w:val="5A5A5A"/>
          <w:sz w:val="17"/>
          <w:szCs w:val="17"/>
        </w:rPr>
        <w:t>EU GMP Part I, Chapter 5 · EU GMP Annex 15 · EMA HBEL guideline · ICH Q9(R1) · SFDA GMP Guide v4.4, Chapter 5 · US FDA 21 CFR 211 Subpart F</w:t>
      </w:r>
    </w:p>
    <w:p w14:paraId="6E8D20B8" w14:textId="77777777" w:rsidR="00CD5946" w:rsidRDefault="00000000">
      <w:pPr>
        <w:pStyle w:val="Heading2"/>
      </w:pPr>
      <w:bookmarkStart w:id="71" w:name="__RefHeading___Toc9299_1729075678"/>
      <w:bookmarkEnd w:id="71"/>
      <w:r>
        <w:t>5.1  General</w:t>
      </w:r>
    </w:p>
    <w:p w14:paraId="372D251C" w14:textId="77777777" w:rsidR="00CD5946" w:rsidRDefault="00000000">
      <w:pPr>
        <w:spacing w:after="90"/>
        <w:ind w:left="300" w:hanging="300"/>
      </w:pPr>
      <w:r>
        <w:rPr>
          <w:rFonts w:ascii="Arial" w:eastAsia="Arial" w:hAnsi="Arial"/>
          <w:b/>
          <w:bCs/>
          <w:color w:val="15512F"/>
        </w:rPr>
        <w:t xml:space="preserve">5.1.1  </w:t>
      </w:r>
      <w:r>
        <w:rPr>
          <w:rFonts w:ascii="Arial" w:eastAsia="Arial" w:hAnsi="Arial"/>
          <w:color w:val="1A1A1A"/>
        </w:rPr>
        <w:t>All handling of materials and products, such as receipt and quarantine, sampling, storage, labelling, dispensing, processing, packaging and distribution, shall be done in accordance with written procedures or instructions and, where necessary, recorded. All incoming materials shall be checked to ensure the consignment corresponds to the order; containers shall be cleaned where necessary and labelled with the prescribed information. Damage to containers and any other problem that might adversely affect the quality of a material shall be investigated, recorded and reported to Quality Control.</w:t>
      </w:r>
    </w:p>
    <w:p w14:paraId="59F57D29" w14:textId="77777777" w:rsidR="00CD5946" w:rsidRDefault="00000000">
      <w:pPr>
        <w:spacing w:after="90"/>
        <w:ind w:left="300" w:hanging="300"/>
      </w:pPr>
      <w:r>
        <w:rPr>
          <w:rFonts w:ascii="Arial" w:eastAsia="Arial" w:hAnsi="Arial"/>
          <w:b/>
          <w:bCs/>
          <w:color w:val="15512F"/>
        </w:rPr>
        <w:t xml:space="preserve">5.1.2  </w:t>
      </w:r>
      <w:r>
        <w:rPr>
          <w:rFonts w:ascii="Arial" w:eastAsia="Arial" w:hAnsi="Arial"/>
          <w:color w:val="1A1A1A"/>
        </w:rPr>
        <w:t>Incoming materials and finished products shall be physically or administratively quarantined immediately after receipt or processing until released for use or distribution. Intermediate and bulk products purchased as such shall be handled on receipt as starting materials. All materials and products shall be stored under the appropriate conditions established by the manufacturer and in an orderly fashion to permit batch segregation and stock rotation. Checks on yields and reconciliation of quantities shall be carried out as necessary to ensure there are no discrepancies outside acceptable limits.</w:t>
      </w:r>
    </w:p>
    <w:p w14:paraId="39CF6D81" w14:textId="77777777" w:rsidR="00CD5946" w:rsidRDefault="00000000">
      <w:pPr>
        <w:pStyle w:val="Heading2"/>
      </w:pPr>
      <w:bookmarkStart w:id="72" w:name="__RefHeading___Toc9301_1729075678"/>
      <w:bookmarkEnd w:id="72"/>
      <w:r>
        <w:t>5.2  Prevention of cross-contamination in production</w:t>
      </w:r>
    </w:p>
    <w:p w14:paraId="65A8BF02" w14:textId="77777777" w:rsidR="00CD5946" w:rsidRDefault="00000000">
      <w:pPr>
        <w:spacing w:after="90"/>
        <w:ind w:left="300" w:hanging="300"/>
      </w:pPr>
      <w:r>
        <w:rPr>
          <w:rFonts w:ascii="Arial" w:eastAsia="Arial" w:hAnsi="Arial"/>
          <w:b/>
          <w:bCs/>
          <w:color w:val="15512F"/>
        </w:rPr>
        <w:t xml:space="preserve">5.2.1  </w:t>
      </w:r>
      <w:r>
        <w:rPr>
          <w:rFonts w:ascii="Arial" w:eastAsia="Arial" w:hAnsi="Arial"/>
          <w:color w:val="1A1A1A"/>
        </w:rPr>
        <w:t>Normally, the production of non-medicinal products should be avoided in areas and with equipment intended for medicinal products. Contamination of a starting material or product by another material or product shall be prevented. This risk of accidental cross-contamination resulting from the uncontrolled release of dust, gases, vapours, aerosols, genetic material or organisms from materials and products in process, from residues on equipment, and from operators' clothing shall be assessed. The significance of this risk varies with the type of contaminant and of product being contaminated; the most hazardous contaminants are highly sensitising materials, biological preparations and certain hormones, cytotoxics and other highly active materials.</w:t>
      </w:r>
    </w:p>
    <w:p w14:paraId="15B4A511" w14:textId="77777777" w:rsidR="00CD5946" w:rsidRDefault="00000000">
      <w:pPr>
        <w:spacing w:after="90"/>
        <w:ind w:left="300" w:hanging="300"/>
      </w:pPr>
      <w:r>
        <w:rPr>
          <w:rFonts w:ascii="Arial" w:eastAsia="Arial" w:hAnsi="Arial"/>
          <w:b/>
          <w:bCs/>
          <w:color w:val="15512F"/>
        </w:rPr>
        <w:t xml:space="preserve">5.2.2  </w:t>
      </w:r>
      <w:r>
        <w:rPr>
          <w:rFonts w:ascii="Arial" w:eastAsia="Arial" w:hAnsi="Arial"/>
          <w:color w:val="1A1A1A"/>
        </w:rPr>
        <w:t>Cross-contamination shall be prevented by attention to design of the premises and equipment; the design and use of technical and organisational measures (including dedicated or segregated areas and equipment, closed systems, and appropriate air handling and pressure cascades); cleaning and the use of cleaning validation to verify residues are below scientifically justified limits derived from a toxicological evaluation (health-based exposure limit / permitted daily exposure); and the use of QRM to assess and control the risks. The outcome of the QRM process shall be the basis for determining the extent of technical and organisational measures required to control the risks of cross-contamination.</w:t>
      </w:r>
    </w:p>
    <w:p w14:paraId="4E2D41E2" w14:textId="77777777" w:rsidR="00CD5946" w:rsidRDefault="00000000">
      <w:pPr>
        <w:spacing w:before="20" w:after="60"/>
        <w:jc w:val="both"/>
      </w:pPr>
      <w:r>
        <w:rPr>
          <w:rFonts w:ascii="Calibri" w:eastAsia="Calibri" w:hAnsi="Calibri"/>
          <w:b/>
          <w:color w:val="0E5A50"/>
          <w:sz w:val="20"/>
        </w:rPr>
        <w:t xml:space="preserve">5.2.3  </w:t>
      </w:r>
      <w:r>
        <w:rPr>
          <w:sz w:val="20"/>
        </w:rPr>
        <w:t>Cross-contamination shall be prevented by a combination of technical and organisational measures whose adequacy is assessed using quality risk management and health-based exposure limits (HBEL); dedicated or segregated facilities shall be provided where the risk cannot otherwise be controlled.</w:t>
      </w:r>
    </w:p>
    <w:p w14:paraId="39456A98" w14:textId="77777777" w:rsidR="00CD5946" w:rsidRDefault="00000000">
      <w:pPr>
        <w:bidi/>
        <w:spacing w:before="20" w:after="60"/>
        <w:jc w:val="both"/>
      </w:pPr>
      <w:r>
        <w:rPr>
          <w:rFonts w:ascii="Arial" w:eastAsia="Arial" w:hAnsi="Arial"/>
          <w:sz w:val="20"/>
          <w:rtl/>
        </w:rPr>
        <w:lastRenderedPageBreak/>
        <w:t>يُمنَع التلوّث المتبادل بمزيج من التدابير الفنّية والتنظيمية تُقيَّم كفايتها بإدارة مخاطر الجودة وحدود التعرّض القائمة على الصحة (</w:t>
      </w:r>
      <w:r>
        <w:rPr>
          <w:rFonts w:ascii="Arial" w:eastAsia="Arial" w:hAnsi="Arial"/>
          <w:sz w:val="20"/>
        </w:rPr>
        <w:t>HBEL</w:t>
      </w:r>
      <w:r>
        <w:rPr>
          <w:rFonts w:ascii="Arial" w:eastAsia="Arial" w:hAnsi="Arial"/>
          <w:sz w:val="20"/>
          <w:rtl/>
        </w:rPr>
        <w:t xml:space="preserve">)، وتُوفَّر مرافق مخصَّصة أو معزولة حيث يتعذّر ضبط الخطر بغير ذلك.  </w:t>
      </w:r>
      <w:r>
        <w:rPr>
          <w:rFonts w:ascii="Calibri" w:eastAsia="Calibri" w:hAnsi="Calibri"/>
          <w:b/>
          <w:color w:val="14756A"/>
          <w:sz w:val="20"/>
        </w:rPr>
        <w:t>5.2.3</w:t>
      </w:r>
    </w:p>
    <w:p w14:paraId="37172DD9" w14:textId="77777777" w:rsidR="00CD5946" w:rsidRDefault="00000000">
      <w:pPr>
        <w:spacing w:before="20" w:after="60"/>
        <w:jc w:val="both"/>
      </w:pPr>
      <w:r>
        <w:rPr>
          <w:rFonts w:ascii="Calibri" w:eastAsia="Calibri" w:hAnsi="Calibri"/>
          <w:b/>
          <w:color w:val="0E5A50"/>
          <w:sz w:val="20"/>
        </w:rPr>
        <w:t xml:space="preserve">5.2.4  </w:t>
      </w:r>
      <w:r>
        <w:rPr>
          <w:sz w:val="20"/>
        </w:rPr>
        <w:t>Certain products — such as highly sensitising materials, certain hormones, cytotoxics and certain biologicals — shall normally be manufactured in dedicated and self-contained facilities unless justified by validated control measures.</w:t>
      </w:r>
    </w:p>
    <w:p w14:paraId="0F46B580" w14:textId="77777777" w:rsidR="00CD5946" w:rsidRDefault="00000000">
      <w:pPr>
        <w:bidi/>
        <w:spacing w:before="20" w:after="60"/>
        <w:jc w:val="both"/>
      </w:pPr>
      <w:r>
        <w:rPr>
          <w:rFonts w:ascii="Arial" w:eastAsia="Arial" w:hAnsi="Arial"/>
          <w:sz w:val="20"/>
          <w:rtl/>
        </w:rPr>
        <w:t xml:space="preserve">تُصنَّع بعض المنتجات — كالمواد عالية التحسيس وبعض الهرمونات والسامّات الخلوية وبعض المنتجات الحيوية — في مرافق مخصَّصة ومُحتواة عادةً، ما لم تُبرَّر تدابير ضبط مُتحقَّقة.  </w:t>
      </w:r>
      <w:r>
        <w:rPr>
          <w:rFonts w:ascii="Calibri" w:eastAsia="Calibri" w:hAnsi="Calibri"/>
          <w:b/>
          <w:color w:val="14756A"/>
          <w:sz w:val="20"/>
        </w:rPr>
        <w:t>5.2.4</w:t>
      </w:r>
    </w:p>
    <w:p w14:paraId="26ADB6E9" w14:textId="77777777" w:rsidR="00CD5946" w:rsidRDefault="00000000">
      <w:pPr>
        <w:pStyle w:val="Heading2"/>
      </w:pPr>
      <w:bookmarkStart w:id="73" w:name="__RefHeading___Toc9303_1729075678"/>
      <w:bookmarkEnd w:id="73"/>
      <w:r>
        <w:t>5.3  Validation</w:t>
      </w:r>
    </w:p>
    <w:p w14:paraId="714EC017" w14:textId="77777777" w:rsidR="00CD5946" w:rsidRDefault="00000000">
      <w:pPr>
        <w:spacing w:after="90"/>
        <w:ind w:left="300" w:hanging="300"/>
      </w:pPr>
      <w:r>
        <w:rPr>
          <w:rFonts w:ascii="Arial" w:eastAsia="Arial" w:hAnsi="Arial"/>
          <w:b/>
          <w:bCs/>
          <w:color w:val="15512F"/>
        </w:rPr>
        <w:t xml:space="preserve">5.3.1  </w:t>
      </w:r>
      <w:r>
        <w:rPr>
          <w:rFonts w:ascii="Arial" w:eastAsia="Arial" w:hAnsi="Arial"/>
          <w:color w:val="1A1A1A"/>
        </w:rPr>
        <w:t>Validation studies shall reinforce GMP and be conducted in accordance with defined procedures. Results and conclusions shall be recorded. Processes and procedures shall be established on the basis of a process-validation study and periodically reviewed (continued process verification) to confirm they remain capable of achieving the intended results. Significant amendments to the manufacturing process, including any change in equipment or materials which may affect product quality and/or the reproducibility of the process, shall be validated. The qualification and validation lifecycle is detailed in the relevant annex.</w:t>
      </w:r>
    </w:p>
    <w:p w14:paraId="752C1C14" w14:textId="77777777" w:rsidR="00CD5946" w:rsidRDefault="00000000">
      <w:pPr>
        <w:pStyle w:val="Heading2"/>
      </w:pPr>
      <w:bookmarkStart w:id="74" w:name="__RefHeading___Toc9305_1729075678"/>
      <w:bookmarkEnd w:id="74"/>
      <w:r>
        <w:t>5.4  Starting materials</w:t>
      </w:r>
    </w:p>
    <w:p w14:paraId="383E107F" w14:textId="77777777" w:rsidR="00CD5946" w:rsidRDefault="00000000">
      <w:pPr>
        <w:spacing w:after="90"/>
        <w:ind w:left="300" w:hanging="300"/>
      </w:pPr>
      <w:r>
        <w:rPr>
          <w:rFonts w:ascii="Arial" w:eastAsia="Arial" w:hAnsi="Arial"/>
          <w:b/>
          <w:bCs/>
          <w:color w:val="15512F"/>
        </w:rPr>
        <w:t xml:space="preserve">5.4.1  </w:t>
      </w:r>
      <w:r>
        <w:rPr>
          <w:rFonts w:ascii="Arial" w:eastAsia="Arial" w:hAnsi="Arial"/>
          <w:color w:val="1A1A1A"/>
        </w:rPr>
        <w:t>The selection, qualification, approval and maintenance of suppliers of starting materials, together with their purchase and acceptance, shall be documented as part of the PQS. The level of supervision should be proportionate to the risks posed by the individual materials, taking account of their source, manufacturing process, supply-chain complexity and the use to which the material is put. Supporting evidence for each supplier/material approval shall be maintained. Active substances shall be procured only from suppliers manufacturing in accordance with the applicable GMP for active substances; the supply chain shall be documented and traceable to the manufacturer of the active substance, and the authenticity and quality of starting materials verified. Excipients and their suppliers shall be controlled on the basis of a formalised quality risk assessment ascertaining the appropriate good manufacturing practices (cf. the EU excipient risk-assessment guidelines, 2015/C 95/02).</w:t>
      </w:r>
    </w:p>
    <w:p>
      <w:pPr>
        <w:spacing w:after="90"/>
        <w:ind w:left="300" w:hanging="300"/>
      </w:pPr>
      <w:r>
        <w:rPr>
          <w:rFonts w:ascii="Arial" w:eastAsia="Arial" w:hAnsi="Arial"/>
          <w:b/>
          <w:bCs/>
          <w:color w:val="15512F"/>
        </w:rPr>
        <w:t xml:space="preserve">5.4.3  Nitrosamines and mutagenic impurities. The manufacturer shall perform, document and keep current a risk assessment for the presence of N-nitrosamines and other cohort-of-concern mutagenic impurities in each product, covering the active-substance route of synthesis and its suppliers, recovered solvents, reagents and catalysts, excipients and water, primary packaging, and formation during manufacture and storage. Where a risk is identified, confirmatory testing with suitably sensitive methods shall be performed and acceptable intakes applied in line with ICH M7(R2) and the current EMA/US FDA published limits — or, for nitrosamines without a published limit, the carcinogenic-potency categorisation approach (CPCA). Any change of supplier, process or materials shall trigger re-assessment, and identified risks and confirmed results shall be reported to the competent authority as required (see Appendix B — Mutagenic Impurities &amp; Nitrosamines).</w:t>
      </w:r>
    </w:p>
    <w:p>
      <w:pPr>
        <w:spacing w:after="90"/>
        <w:ind w:left="300" w:hanging="300"/>
      </w:pPr>
      <w:r>
        <w:rPr>
          <w:rFonts w:ascii="Arial" w:eastAsia="Arial" w:hAnsi="Arial"/>
          <w:b/>
          <w:bCs/>
          <w:color w:val="15512F"/>
        </w:rPr>
        <w:t xml:space="preserve">5.4.3  النتروزامينات والشوائب المطفّرة: يُجري المصنّع تقييم مخاطر موثّقاً ومحدَّثاً لاحتمال وجود النتروزامينات وسائر الشوائب المطفّرة عالية الخطورة في كل منتج، يشمل مسار تخليق المادة الفعّالة ومورّديها، والمذيبات المستردّة والكواشف والحفّازات، والسواغات والماء، والتعبئة الأولية، والتكوّن أثناء التصنيع والتخزين. وعند تبيّن خطر يُجرى اختبار تأكيدي بطرائق حسّاسة وتُطبَّق حدود القبول وفق ICH M7(R2) والقوائم المنشورة، أو نهج تصنيف الفاعلية السرطانية للشوائب دون حدّ منشور. وأيّ تغيير في المورّد أو العملية أو المواد يستوجب إعادة التقييم، وتُبلَّغ الجهة المختصة بالمخاطر والنتائج المؤكّدة حسب المقتضى.</w:t>
      </w:r>
    </w:p>
    <w:p w14:paraId="400B9AE6" w14:textId="77777777" w:rsidR="00CD5946" w:rsidRDefault="00000000">
      <w:pPr>
        <w:spacing w:after="90"/>
        <w:ind w:left="300" w:hanging="300"/>
      </w:pPr>
      <w:r>
        <w:rPr>
          <w:rFonts w:ascii="Arial" w:eastAsia="Arial" w:hAnsi="Arial"/>
          <w:b/>
          <w:bCs/>
          <w:color w:val="15512F"/>
        </w:rPr>
        <w:t xml:space="preserve">5.4.2  </w:t>
      </w:r>
      <w:r>
        <w:rPr>
          <w:rFonts w:ascii="Arial" w:eastAsia="Arial" w:hAnsi="Arial"/>
          <w:color w:val="1A1A1A"/>
        </w:rPr>
        <w:t>Starting materials shall only be released for use after they have been sampled, tested or otherwise verified as complying with specification, and approved by Quality Control. Verification of identity shall be conducted on a sample from each container of starting material, unless a validated system is in place to provide equivalent assurance of the identity of the starting material in every container. For each delivery, the containers shall be checked for integrity of package and seal and for correspondence between the order, the delivery note and the supplier's labels.</w:t>
      </w:r>
    </w:p>
    <w:p w14:paraId="18423D54" w14:textId="77777777" w:rsidR="00CD5946" w:rsidRDefault="00000000">
      <w:pPr>
        <w:pStyle w:val="Heading2"/>
      </w:pPr>
      <w:bookmarkStart w:id="75" w:name="__RefHeading___Toc9307_1729075678"/>
      <w:bookmarkEnd w:id="75"/>
      <w:r>
        <w:t>5.5  Processing operations — intermediate and bulk products</w:t>
      </w:r>
    </w:p>
    <w:p w14:paraId="403775D7" w14:textId="77777777" w:rsidR="00CD5946" w:rsidRDefault="00000000">
      <w:pPr>
        <w:spacing w:after="90"/>
        <w:ind w:left="300" w:hanging="300"/>
      </w:pPr>
      <w:r>
        <w:rPr>
          <w:rFonts w:ascii="Arial" w:eastAsia="Arial" w:hAnsi="Arial"/>
          <w:b/>
          <w:bCs/>
          <w:color w:val="15512F"/>
        </w:rPr>
        <w:t xml:space="preserve">5.5.1  </w:t>
      </w:r>
      <w:r>
        <w:rPr>
          <w:rFonts w:ascii="Arial" w:eastAsia="Arial" w:hAnsi="Arial"/>
          <w:color w:val="1A1A1A"/>
        </w:rPr>
        <w:t>Before any processing operation is started, steps shall be taken to ensure the work area and equipment are clean and free from any starting materials, products, product residues or documents not required for the current operation (line clearance). In-process controls shall be performed and recorded; any significant deviation from the expected yield shall be recorded and investigated. Intermediate and bulk products shall be kept under appropriate conditions and properly labelled. Critical process parameters shall be controlled within the validated ranges and monitored.</w:t>
      </w:r>
    </w:p>
    <w:p w14:paraId="2AB08708" w14:textId="77777777" w:rsidR="00CD5946" w:rsidRDefault="00000000">
      <w:pPr>
        <w:pStyle w:val="Heading2"/>
      </w:pPr>
      <w:bookmarkStart w:id="76" w:name="__RefHeading___Toc9309_1729075678"/>
      <w:bookmarkEnd w:id="76"/>
      <w:r>
        <w:t>5.6  Packaging materials and operations</w:t>
      </w:r>
    </w:p>
    <w:p w14:paraId="51391426" w14:textId="77777777" w:rsidR="00CD5946" w:rsidRDefault="00000000">
      <w:pPr>
        <w:spacing w:after="90"/>
        <w:ind w:left="300" w:hanging="300"/>
      </w:pPr>
      <w:r>
        <w:rPr>
          <w:rFonts w:ascii="Arial" w:eastAsia="Arial" w:hAnsi="Arial"/>
          <w:b/>
          <w:bCs/>
          <w:color w:val="15512F"/>
        </w:rPr>
        <w:t xml:space="preserve">5.6.1  </w:t>
      </w:r>
      <w:r>
        <w:rPr>
          <w:rFonts w:ascii="Arial" w:eastAsia="Arial" w:hAnsi="Arial"/>
          <w:color w:val="1A1A1A"/>
        </w:rPr>
        <w:t xml:space="preserve">The purchase, handling and control of primary and printed packaging materials shall be accorded attention similar to that given to starting materials. Particular attention shall be paid to printed materials, which shall be stored in secure conditions so as to exclude unauthorised </w:t>
        <w:lastRenderedPageBreak/>
        <w:t>access, and issued in a controlled manner with reconciliation. When setting up a programme for packaging operations, particular attention shall be given to minimising the risk of cross-contamination, mix-ups or substitutions. Before packaging operations begin, line clearance shall be performed and recorded to ensure the area, packaging lines, printing machines and other equipment are clean and free from any products, materials or documents not required. The correct functioning of online controls (for example code/expiry verification) shall be checked and recorded.</w:t>
      </w:r>
    </w:p>
    <w:p w14:paraId="15C6D245" w14:textId="77777777" w:rsidR="00CD5946" w:rsidRDefault="00000000">
      <w:pPr>
        <w:spacing w:after="90"/>
        <w:ind w:left="300" w:hanging="300"/>
      </w:pPr>
      <w:r>
        <w:rPr>
          <w:rFonts w:ascii="Arial" w:eastAsia="Arial" w:hAnsi="Arial"/>
          <w:b/>
          <w:bCs/>
          <w:color w:val="15512F"/>
        </w:rPr>
        <w:t xml:space="preserve">5.6.2  </w:t>
      </w:r>
      <w:r>
        <w:rPr>
          <w:rFonts w:ascii="Arial" w:eastAsia="Arial" w:hAnsi="Arial"/>
          <w:color w:val="1A1A1A"/>
        </w:rPr>
        <w:t>On completion of a packaging operation, any unused batch-coded packaging materials shall be destroyed and the destruction recorded. A documented reconciliation between the number of printed materials issued, used and returned, and the number of units produced, shall be performed; significant or unusual discrepancies shall be investigated and satisfactorily accounted for before release. Serialisation and tamper-evidence, where required, shall be applied and verified.</w:t>
      </w:r>
    </w:p>
    <w:p w14:paraId="077D5A17" w14:textId="77777777" w:rsidR="00CD5946" w:rsidRDefault="00000000">
      <w:pPr>
        <w:pStyle w:val="Heading2"/>
      </w:pPr>
      <w:bookmarkStart w:id="77" w:name="__RefHeading___Toc9311_1729075678"/>
      <w:bookmarkEnd w:id="77"/>
      <w:r>
        <w:t>5.7  Finished products, rejected, recovered and returned materials</w:t>
      </w:r>
    </w:p>
    <w:p w14:paraId="6EF5E098" w14:textId="77777777" w:rsidR="00CD5946" w:rsidRDefault="00000000">
      <w:pPr>
        <w:spacing w:after="90"/>
        <w:ind w:left="300" w:hanging="300"/>
      </w:pPr>
      <w:r>
        <w:rPr>
          <w:rFonts w:ascii="Arial" w:eastAsia="Arial" w:hAnsi="Arial"/>
          <w:b/>
          <w:bCs/>
          <w:color w:val="15512F"/>
        </w:rPr>
        <w:t xml:space="preserve">5.7.1  </w:t>
      </w:r>
      <w:r>
        <w:rPr>
          <w:rFonts w:ascii="Arial" w:eastAsia="Arial" w:hAnsi="Arial"/>
          <w:color w:val="1A1A1A"/>
        </w:rPr>
        <w:t>Finished products shall be held in quarantine until their final release, under conditions established by the manufacturer; their evaluation prior to release is described in the chapter on Quality Control. Rejected materials and products shall be clearly marked as such and stored separately in restricted areas; they shall be returned to the suppliers, reprocessed or destroyed in a timely manner, and whatever action is taken shall be approved and recorded by authorised personnel. Reprocessing or recovery of rejected products shall be exceptional and permitted only if the quality of the final product is not affected, the relevant requirements are met, and the operation is evaluated, approved and recorded under the PQS. Returned products shall be destroyed unless their quality is beyond doubt; they may be considered for resale, relabelling or recovery only after critical assessment by Quality Control under a written procedure.</w:t>
      </w:r>
    </w:p>
    <w:p w14:paraId="69B628EB" w14:textId="77777777" w:rsidR="00CD5946" w:rsidRDefault="00000000">
      <w:pPr>
        <w:spacing w:after="90"/>
        <w:ind w:left="300" w:hanging="300"/>
      </w:pPr>
      <w:r>
        <w:rPr>
          <w:rFonts w:ascii="Arial" w:eastAsia="Arial" w:hAnsi="Arial"/>
          <w:b/>
          <w:bCs/>
          <w:color w:val="15512F"/>
        </w:rPr>
        <w:t xml:space="preserve">5.7.2  </w:t>
      </w:r>
      <w:r>
        <w:rPr>
          <w:rFonts w:ascii="Arial" w:eastAsia="Arial" w:hAnsi="Arial"/>
          <w:color w:val="1A1A1A"/>
        </w:rPr>
        <w:t>Throughout production, the manufacturer should communicate any information relevant to product quality to the marketing-authorisation holder. Where a manufacturing constraint may lead to a product shortage, the manufacturer should notify the marketing-authorisation holder in a timely manner so that the authorities can be informed where required.</w:t>
      </w:r>
    </w:p>
    <w:p w14:paraId="0C4CA966" w14:textId="77777777" w:rsidR="00CD5946" w:rsidRDefault="00000000">
      <w:pPr>
        <w:pBdr>
          <w:left w:val="single" w:sz="6" w:space="8" w:color="CFCFCF"/>
        </w:pBdr>
        <w:spacing w:before="20" w:after="140"/>
        <w:ind w:left="300"/>
      </w:pPr>
      <w:r>
        <w:rPr>
          <w:rFonts w:ascii="Arial" w:eastAsia="Arial" w:hAnsi="Arial"/>
          <w:b/>
          <w:bCs/>
          <w:color w:val="5A5A5A"/>
          <w:sz w:val="18"/>
          <w:szCs w:val="18"/>
        </w:rPr>
        <w:t xml:space="preserve">Note.  </w:t>
      </w:r>
      <w:r>
        <w:rPr>
          <w:rFonts w:ascii="Arial" w:eastAsia="Arial" w:hAnsi="Arial"/>
          <w:i/>
          <w:iCs/>
          <w:color w:val="5A5A5A"/>
          <w:sz w:val="18"/>
          <w:szCs w:val="18"/>
        </w:rPr>
        <w:t>Cross-contamination is controlled through a combination of technical and organisational measures derived from quality risk management and the health-based exposure limit. Dedicated facilities are reserved for the residual cases where these measures cannot, by themselves, reduce the risk to an acceptable level (see clause 5 and Chapter 3).</w:t>
      </w:r>
      <w:r>
        <w:br w:type="page"/>
      </w:r>
    </w:p>
    <w:p w14:paraId="740B625A" w14:textId="77777777" w:rsidR="00CD5946" w:rsidRDefault="00000000">
      <w:pPr>
        <w:pStyle w:val="Heading1"/>
        <w:spacing w:before="0"/>
      </w:pPr>
      <w:bookmarkStart w:id="78" w:name="__RefHeading___Toc9313_1729075678"/>
      <w:bookmarkEnd w:id="78"/>
      <w:r>
        <w:lastRenderedPageBreak/>
        <w:t>Chapter 6 — Quality Control</w:t>
      </w:r>
    </w:p>
    <w:p w14:paraId="73C90EA7" w14:textId="77777777" w:rsidR="00CD5946" w:rsidRDefault="00000000">
      <w:pPr>
        <w:pBdr>
          <w:left w:val="single" w:sz="16" w:space="8" w:color="C8A24B"/>
        </w:pBdr>
        <w:spacing w:before="60" w:after="140"/>
        <w:ind w:left="160"/>
      </w:pPr>
      <w:r>
        <w:rPr>
          <w:rFonts w:ascii="Arial" w:eastAsia="Arial" w:hAnsi="Arial"/>
          <w:b/>
          <w:bCs/>
          <w:color w:val="B08C37"/>
        </w:rPr>
        <w:t xml:space="preserve">Principle.  </w:t>
      </w:r>
      <w:r>
        <w:rPr>
          <w:rFonts w:ascii="Arial" w:eastAsia="Arial" w:hAnsi="Arial"/>
          <w:color w:val="1A1A1A"/>
        </w:rPr>
        <w:t>Quality Control is concerned with sampling, specifications and testing, and with the organisation, documentation and release procedures which ensure that the necessary and relevant tests are carried out and that materials are not released for use, nor products released for sale or supply, until their quality has been judged satisfactory. Quality Control is not confined to laboratory operations but shall be involved in all decisions concerning the quality of the product. Independence of Quality Control from Production is considered fundamental.</w:t>
      </w:r>
    </w:p>
    <w:p w14:paraId="03441588" w14:textId="77777777" w:rsidR="00CD5946" w:rsidRDefault="00000000">
      <w:pPr>
        <w:spacing w:before="20" w:after="140"/>
      </w:pPr>
      <w:r>
        <w:rPr>
          <w:rFonts w:ascii="Arial" w:eastAsia="Arial" w:hAnsi="Arial"/>
          <w:b/>
          <w:bCs/>
          <w:color w:val="B08C37"/>
          <w:sz w:val="17"/>
          <w:szCs w:val="17"/>
        </w:rPr>
        <w:t xml:space="preserve">Harmonised with: </w:t>
      </w:r>
      <w:r>
        <w:rPr>
          <w:rFonts w:ascii="Arial" w:eastAsia="Arial" w:hAnsi="Arial"/>
          <w:i/>
          <w:iCs/>
          <w:color w:val="5A5A5A"/>
          <w:sz w:val="17"/>
          <w:szCs w:val="17"/>
        </w:rPr>
        <w:t>EU GMP Part I, Chapter 6 · ICH Q2(R2)/Q14 · ICH Q1A(R2) · US FDA OOS Guidance (2022) · SFDA GMP Guide v4.4, Chapter 6 · US FDA 21 CFR 211 Subpart I</w:t>
      </w:r>
    </w:p>
    <w:p w14:paraId="65FAB56E" w14:textId="77777777" w:rsidR="00CD5946" w:rsidRDefault="00000000">
      <w:pPr>
        <w:pStyle w:val="Heading2"/>
      </w:pPr>
      <w:bookmarkStart w:id="79" w:name="__RefHeading___Toc9315_1729075678"/>
      <w:bookmarkEnd w:id="79"/>
      <w:r>
        <w:t>6.1  General</w:t>
      </w:r>
    </w:p>
    <w:p w14:paraId="5E0F318D" w14:textId="77777777" w:rsidR="00CD5946" w:rsidRDefault="00000000">
      <w:pPr>
        <w:spacing w:after="90"/>
        <w:ind w:left="300" w:hanging="300"/>
      </w:pPr>
      <w:r>
        <w:rPr>
          <w:rFonts w:ascii="Arial" w:eastAsia="Arial" w:hAnsi="Arial"/>
          <w:b/>
          <w:bCs/>
          <w:color w:val="15512F"/>
        </w:rPr>
        <w:t xml:space="preserve">6.1.1  </w:t>
      </w:r>
      <w:r>
        <w:rPr>
          <w:rFonts w:ascii="Arial" w:eastAsia="Arial" w:hAnsi="Arial"/>
          <w:color w:val="1A1A1A"/>
        </w:rPr>
        <w:t>Each holder of a manufacturing authorisation shall have a Quality Control department, independent of other departments and under the authority of a person with appropriate qualifications and experience, with one or several control laboratories at its disposal. Adequate resources shall be available to ensure all QC arrangements are effectively and reliably carried out. The principal duties of the head of Quality Control are summarised in the chapter on Personnel. QC as a whole shall also have other responsibilities, such as to establish, validate and implement all QC procedures; oversee the control of reference standards; ensure the correct labelling of containers of materials and products; ensure the monitoring of the stability of the products; participate in investigation of complaints; and participate in environmental monitoring.</w:t>
      </w:r>
    </w:p>
    <w:p w14:paraId="07ECD0FB" w14:textId="77777777" w:rsidR="00CD5946" w:rsidRDefault="00000000">
      <w:pPr>
        <w:pStyle w:val="Heading2"/>
      </w:pPr>
      <w:bookmarkStart w:id="80" w:name="__RefHeading___Toc9317_1729075678"/>
      <w:bookmarkEnd w:id="80"/>
      <w:r>
        <w:t>6.2  Documentation and sampling</w:t>
      </w:r>
    </w:p>
    <w:p w14:paraId="2319F019" w14:textId="77777777" w:rsidR="00CD5946" w:rsidRDefault="00000000">
      <w:pPr>
        <w:spacing w:after="90"/>
        <w:ind w:left="300" w:hanging="300"/>
      </w:pPr>
      <w:r>
        <w:rPr>
          <w:rFonts w:ascii="Arial" w:eastAsia="Arial" w:hAnsi="Arial"/>
          <w:b/>
          <w:bCs/>
          <w:color w:val="15512F"/>
        </w:rPr>
        <w:t xml:space="preserve">6.2.1  </w:t>
      </w:r>
      <w:r>
        <w:rPr>
          <w:rFonts w:ascii="Arial" w:eastAsia="Arial" w:hAnsi="Arial"/>
          <w:color w:val="1A1A1A"/>
        </w:rPr>
        <w:t>Laboratory documentation shall follow the principles of Chapter 4. An important part of this documentation deals with Quality Control: specifications; sampling procedures; testing procedures and records (including analytical worksheets and/or laboratory notebooks); analytical reports and/or certificates; environmental-monitoring data where required; validation records of test methods where applicable; and procedures for, and records of, the calibration of instruments and maintenance of equipment. Sampling shall be carried out and recorded in accordance with approved written procedures that describe the method and the equipment to be used, the amount to be taken, any precautions to avoid contamination or deterioration, the identification of containers sampled, and the storage conditions of samples.</w:t>
      </w:r>
    </w:p>
    <w:p w14:paraId="351CAA6D" w14:textId="77777777" w:rsidR="00CD5946" w:rsidRDefault="00000000">
      <w:pPr>
        <w:pStyle w:val="Heading2"/>
      </w:pPr>
      <w:bookmarkStart w:id="81" w:name="__RefHeading___Toc9319_1729075678"/>
      <w:bookmarkEnd w:id="81"/>
      <w:r>
        <w:t>6.3  Testing</w:t>
      </w:r>
    </w:p>
    <w:p w14:paraId="27C2EC0B" w14:textId="77777777" w:rsidR="00CD5946" w:rsidRDefault="00000000">
      <w:pPr>
        <w:spacing w:after="90"/>
        <w:ind w:left="300" w:hanging="300"/>
      </w:pPr>
      <w:r>
        <w:rPr>
          <w:rFonts w:ascii="Arial" w:eastAsia="Arial" w:hAnsi="Arial"/>
          <w:b/>
          <w:bCs/>
          <w:color w:val="15512F"/>
        </w:rPr>
        <w:t xml:space="preserve">6.3.1  </w:t>
      </w:r>
      <w:r>
        <w:rPr>
          <w:rFonts w:ascii="Arial" w:eastAsia="Arial" w:hAnsi="Arial"/>
          <w:color w:val="1A1A1A"/>
        </w:rPr>
        <w:t>Analytical methods shall be validated (or verified where they are compendial) and fit for purpose; method validation and lifecycle management shall follow current ICH principles. All testing operations described in the marketing authorisation shall be carried out according to the approved methods. The results obtained shall be recorded and checked to ensure they are consistent with each other. Any calculations shall be critically examined. Out-of-specification (OOS) and out-of-trend (OOT) results shall be investigated according to a written procedure; an OOS result shall not be invalidated without a documented investigation establishing an assignable cause, and “testing into compliance” is prohibited. Reference and retention samples shall be retained as required.</w:t>
      </w:r>
    </w:p>
    <w:p w14:paraId="7BE630AB" w14:textId="77777777" w:rsidR="00CD5946" w:rsidRDefault="00000000">
      <w:pPr>
        <w:pStyle w:val="Heading2"/>
      </w:pPr>
      <w:bookmarkStart w:id="82" w:name="__RefHeading___Toc9321_1729075678"/>
      <w:bookmarkEnd w:id="82"/>
      <w:r>
        <w:t>6.4  Ongoing stability programme</w:t>
      </w:r>
    </w:p>
    <w:p w14:paraId="48E605AF" w14:textId="77777777" w:rsidR="00CD5946" w:rsidRDefault="00000000">
      <w:pPr>
        <w:spacing w:after="90"/>
        <w:ind w:left="300" w:hanging="300"/>
      </w:pPr>
      <w:r>
        <w:rPr>
          <w:rFonts w:ascii="Arial" w:eastAsia="Arial" w:hAnsi="Arial"/>
          <w:b/>
          <w:bCs/>
          <w:color w:val="15512F"/>
        </w:rPr>
        <w:t xml:space="preserve">6.4.1  </w:t>
      </w:r>
      <w:r>
        <w:rPr>
          <w:rFonts w:ascii="Arial" w:eastAsia="Arial" w:hAnsi="Arial"/>
          <w:color w:val="1A1A1A"/>
        </w:rPr>
        <w:t xml:space="preserve">After marketing, the stability of the medicinal product shall be monitored according to a continuous, appropriate programme to detect any stability issue (for example changes in levels of impurities or in dissolution) associated with the formulation in the marketed package. The </w:t>
        <w:lastRenderedPageBreak/>
        <w:t>programme shall normally include at least one batch per year of product manufactured in every strength and every primary packaging type, where applicable (bracketing and matrixing may be used where scientifically justified). The protocol shall extend to the end of the shelf life and include suitable physical, chemical, microbiological and biological parameters; out-of-specification results or significant adverse trends shall be investigated, and any confirmed result, or any potential serious quality issue, reported to the competent authorities. The conclusions shall be documented.</w:t>
      </w:r>
    </w:p>
    <w:p w14:paraId="3B74E444" w14:textId="77777777" w:rsidR="00CD5946" w:rsidRDefault="00000000">
      <w:pPr>
        <w:spacing w:before="20" w:after="60"/>
        <w:jc w:val="both"/>
      </w:pPr>
      <w:r>
        <w:rPr>
          <w:rFonts w:ascii="Calibri" w:eastAsia="Calibri" w:hAnsi="Calibri"/>
          <w:b/>
          <w:color w:val="0E5A50"/>
          <w:sz w:val="20"/>
        </w:rPr>
        <w:t xml:space="preserve">6.4.2  </w:t>
      </w:r>
      <w:r>
        <w:rPr>
          <w:sz w:val="20"/>
        </w:rPr>
        <w:t>An ongoing stability programme shall monitor each marketed product, with at least one batch per year per strength and container type (unless none is produced), against a written protocol using stability-indicating methods. Batches associated with significant changes or significant deviations shall be included in the programme, and storage conditions shall reflect the climatic zone(s) of the markets supplied (GCC states: Zone III / IVa — 30 °C/65 % RH per the GCC stability guideline).</w:t>
      </w:r>
    </w:p>
    <w:p w14:paraId="0E65C871" w14:textId="77777777" w:rsidR="00CD5946" w:rsidRDefault="00000000">
      <w:pPr>
        <w:bidi/>
        <w:spacing w:before="20" w:after="60"/>
        <w:jc w:val="both"/>
      </w:pPr>
      <w:r>
        <w:rPr>
          <w:rFonts w:ascii="Arial" w:eastAsia="Arial" w:hAnsi="Arial"/>
          <w:sz w:val="20"/>
          <w:rtl/>
        </w:rPr>
        <w:t xml:space="preserve">يرصد برنامج ثبات مستمرّ كلّ منتج مسوَّق، بتشغيلة واحدة على الأقلّ سنوياً لكلّ تركيز ونوع عبوة (ما لم يُنتَج شيء)، وفق بروتوكول مكتوب بطرائق دالّة على الثبات. وتُدرَج في البرنامج التشغيلات المرتبطة بتغييرات أو انحرافات معتدّ بها، وتعكس ظروف التخزين المناطق المناخية للأسواق المورَّد إليها (دول الخليج: المنطقة الثالثة/الرابعة أ بواقع 30 درجة و65 بالمئة رطوبة وفق دليل الثبات الخليجي).  </w:t>
      </w:r>
      <w:r>
        <w:rPr>
          <w:rFonts w:ascii="Calibri" w:eastAsia="Calibri" w:hAnsi="Calibri"/>
          <w:b/>
          <w:color w:val="14756A"/>
          <w:sz w:val="20"/>
        </w:rPr>
        <w:t>6.4.2</w:t>
      </w:r>
    </w:p>
    <w:p w14:paraId="71C75251" w14:textId="77777777" w:rsidR="00CD5946" w:rsidRDefault="00000000">
      <w:pPr>
        <w:spacing w:before="20" w:after="60"/>
        <w:jc w:val="both"/>
      </w:pPr>
      <w:r>
        <w:rPr>
          <w:rFonts w:ascii="Calibri" w:eastAsia="Calibri" w:hAnsi="Calibri"/>
          <w:b/>
          <w:color w:val="0E5A50"/>
          <w:sz w:val="20"/>
        </w:rPr>
        <w:t xml:space="preserve">6.4.3  </w:t>
      </w:r>
      <w:r>
        <w:rPr>
          <w:sz w:val="20"/>
        </w:rPr>
        <w:t>Out-of-specification or significant atypical stability results shall be investigated, and any confirmed result affecting batches on the market shall be reported to the competent authority with proposed action.</w:t>
      </w:r>
    </w:p>
    <w:p w14:paraId="06ADE145" w14:textId="77777777" w:rsidR="00CD5946" w:rsidRDefault="00000000">
      <w:pPr>
        <w:bidi/>
        <w:spacing w:before="20" w:after="60"/>
        <w:jc w:val="both"/>
      </w:pPr>
      <w:r>
        <w:rPr>
          <w:rFonts w:ascii="Arial" w:eastAsia="Arial" w:hAnsi="Arial"/>
          <w:sz w:val="20"/>
          <w:rtl/>
        </w:rPr>
        <w:t xml:space="preserve">تُحقَّق نتائج الثبات المخالفة للمواصفات أو الشاذّة المعتدّ بها، ويُبلَّغ أيّ نتيجة مؤكَّدة تمسّ تشغيلات في السوق إلى الجهة المختصّة مع الإجراء المقترَح.  </w:t>
      </w:r>
      <w:r>
        <w:rPr>
          <w:rFonts w:ascii="Calibri" w:eastAsia="Calibri" w:hAnsi="Calibri"/>
          <w:b/>
          <w:color w:val="14756A"/>
          <w:sz w:val="20"/>
        </w:rPr>
        <w:t>6.4.3</w:t>
      </w:r>
    </w:p>
    <w:p w14:paraId="57A7C0A6" w14:textId="77777777" w:rsidR="00CD5946" w:rsidRDefault="00000000">
      <w:pPr>
        <w:pStyle w:val="Heading2"/>
      </w:pPr>
      <w:bookmarkStart w:id="83" w:name="__RefHeading___Toc9323_1729075678"/>
      <w:bookmarkEnd w:id="83"/>
      <w:r>
        <w:t>6.5  Technical transfer of testing methods</w:t>
      </w:r>
    </w:p>
    <w:p w14:paraId="59967D11" w14:textId="77777777" w:rsidR="00CD5946" w:rsidRDefault="00000000">
      <w:pPr>
        <w:spacing w:after="90"/>
        <w:ind w:left="300" w:hanging="300"/>
      </w:pPr>
      <w:r>
        <w:rPr>
          <w:rFonts w:ascii="Arial" w:eastAsia="Arial" w:hAnsi="Arial"/>
          <w:b/>
          <w:bCs/>
          <w:color w:val="15512F"/>
        </w:rPr>
        <w:t xml:space="preserve">6.5.1  </w:t>
      </w:r>
      <w:r>
        <w:rPr>
          <w:rFonts w:ascii="Arial" w:eastAsia="Arial" w:hAnsi="Arial"/>
          <w:color w:val="1A1A1A"/>
        </w:rPr>
        <w:t>Prior to transferring a test method, the transferring site shall verify that the method(s) comply with those described in the marketing authorisation or relevant dossier. A protocol shall define the parameters, acceptance criteria and responsibilities, and the receiving laboratory shall demonstrate its ability to perform the method to the required standard before routine use. Any discrepancies shall be investigated and resolved before the transfer is concluded and documented.</w:t>
      </w:r>
    </w:p>
    <w:p w14:paraId="7D48CA11" w14:textId="77777777" w:rsidR="00CD5946" w:rsidRDefault="00000000">
      <w:pPr>
        <w:pBdr>
          <w:left w:val="single" w:sz="6" w:space="8" w:color="CFCFCF"/>
        </w:pBdr>
        <w:spacing w:before="20" w:after="140"/>
        <w:ind w:left="300"/>
      </w:pPr>
      <w:r>
        <w:rPr>
          <w:rFonts w:ascii="Arial" w:eastAsia="Arial" w:hAnsi="Arial"/>
          <w:b/>
          <w:bCs/>
          <w:color w:val="5A5A5A"/>
          <w:sz w:val="18"/>
          <w:szCs w:val="18"/>
        </w:rPr>
        <w:t xml:space="preserve">Note.  </w:t>
      </w:r>
      <w:r>
        <w:rPr>
          <w:rFonts w:ascii="Arial" w:eastAsia="Arial" w:hAnsi="Arial"/>
          <w:i/>
          <w:iCs/>
          <w:color w:val="5A5A5A"/>
          <w:sz w:val="18"/>
          <w:szCs w:val="18"/>
        </w:rPr>
        <w:t>Out-of-specification, out-of-trend and atypical results are investigated under a defined procedure before a conclusion on the batch is reached. Reference and retention samples are taken and stored in accordance with Annex 19, and ongoing-stability data feed the Product Quality Review.</w:t>
      </w:r>
      <w:r>
        <w:br w:type="page"/>
      </w:r>
    </w:p>
    <w:p w14:paraId="6C7CE6A8" w14:textId="77777777" w:rsidR="00CD5946" w:rsidRDefault="00000000">
      <w:pPr>
        <w:pStyle w:val="Heading1"/>
        <w:spacing w:before="0"/>
      </w:pPr>
      <w:bookmarkStart w:id="84" w:name="__RefHeading___Toc9325_1729075678"/>
      <w:bookmarkEnd w:id="84"/>
      <w:r>
        <w:lastRenderedPageBreak/>
        <w:t>Chapter 7 — Outsourced Activities</w:t>
      </w:r>
    </w:p>
    <w:p w14:paraId="0EA9BE3C" w14:textId="77777777" w:rsidR="00CD5946" w:rsidRDefault="00000000">
      <w:pPr>
        <w:pBdr>
          <w:left w:val="single" w:sz="16" w:space="8" w:color="C8A24B"/>
        </w:pBdr>
        <w:spacing w:before="60" w:after="140"/>
        <w:ind w:left="160"/>
      </w:pPr>
      <w:r>
        <w:rPr>
          <w:rFonts w:ascii="Arial" w:eastAsia="Arial" w:hAnsi="Arial"/>
          <w:b/>
          <w:bCs/>
          <w:color w:val="B08C37"/>
        </w:rPr>
        <w:t xml:space="preserve">Principle.  </w:t>
      </w:r>
      <w:r>
        <w:rPr>
          <w:rFonts w:ascii="Arial" w:eastAsia="Arial" w:hAnsi="Arial"/>
          <w:color w:val="1A1A1A"/>
        </w:rPr>
        <w:t>Any activity covered by GMP that is outsourced shall be appropriately defined, agreed and controlled in order to avoid misunderstandings that could result in a product or operation of unsatisfactory quality. There shall be a written contract between the Contract Giver and the Contract Acceptor which clearly establishes the duties of each party. The PQS of the Contract Giver shall clearly state the way in which the Authorised/Qualified Person certifying each batch exercises full responsibility.</w:t>
      </w:r>
    </w:p>
    <w:p w14:paraId="20F3B95F" w14:textId="77777777" w:rsidR="00CD5946" w:rsidRDefault="00000000">
      <w:pPr>
        <w:spacing w:before="20" w:after="140"/>
      </w:pPr>
      <w:r>
        <w:rPr>
          <w:rFonts w:ascii="Arial" w:eastAsia="Arial" w:hAnsi="Arial"/>
          <w:b/>
          <w:bCs/>
          <w:color w:val="B08C37"/>
          <w:sz w:val="17"/>
          <w:szCs w:val="17"/>
        </w:rPr>
        <w:t xml:space="preserve">Harmonised with: </w:t>
      </w:r>
      <w:r>
        <w:rPr>
          <w:rFonts w:ascii="Arial" w:eastAsia="Arial" w:hAnsi="Arial"/>
          <w:i/>
          <w:iCs/>
          <w:color w:val="5A5A5A"/>
          <w:sz w:val="17"/>
          <w:szCs w:val="17"/>
        </w:rPr>
        <w:t>EU GMP Part I, Chapter 7 · SFDA GMP Guide v4.4, Chapter 7 · WHO TRS 986, Annex 2 · ICH Q10</w:t>
      </w:r>
    </w:p>
    <w:p w14:paraId="411B467B" w14:textId="77777777" w:rsidR="00CD5946" w:rsidRDefault="00000000">
      <w:pPr>
        <w:pStyle w:val="Heading2"/>
      </w:pPr>
      <w:bookmarkStart w:id="85" w:name="__RefHeading___Toc9327_1729075678"/>
      <w:bookmarkEnd w:id="85"/>
      <w:r>
        <w:t>7.1  General</w:t>
      </w:r>
    </w:p>
    <w:p w14:paraId="4E6BB5C6" w14:textId="77777777" w:rsidR="00CD5946" w:rsidRDefault="00000000">
      <w:pPr>
        <w:spacing w:after="90"/>
        <w:ind w:left="300" w:hanging="300"/>
      </w:pPr>
      <w:r>
        <w:rPr>
          <w:rFonts w:ascii="Arial" w:eastAsia="Arial" w:hAnsi="Arial"/>
          <w:b/>
          <w:bCs/>
          <w:color w:val="15512F"/>
        </w:rPr>
        <w:t xml:space="preserve">7.1.1  </w:t>
      </w:r>
      <w:r>
        <w:rPr>
          <w:rFonts w:ascii="Arial" w:eastAsia="Arial" w:hAnsi="Arial"/>
          <w:color w:val="1A1A1A"/>
        </w:rPr>
        <w:t>This chapter applies to any activity which is outsourced (for example contract manufacture, analysis, calibration, maintenance, pest control, cleaning, computerised-system support). It does not include consignment of medicinal products to a wholesaler. Responsibility lies with the Contract Giver to assess the legality, suitability and competence of the Contract Acceptor to carry out successfully the outsourced activity, and to ensure by means of the contract that the principles and guidelines of GMP are followed.</w:t>
      </w:r>
    </w:p>
    <w:p w14:paraId="152945A6" w14:textId="77777777" w:rsidR="00CD5946" w:rsidRDefault="00000000">
      <w:pPr>
        <w:pStyle w:val="Heading2"/>
      </w:pPr>
      <w:bookmarkStart w:id="86" w:name="__RefHeading___Toc9329_1729075678"/>
      <w:bookmarkEnd w:id="86"/>
      <w:r>
        <w:t>7.2  The Contract Giver</w:t>
      </w:r>
    </w:p>
    <w:p w14:paraId="6B61A72D" w14:textId="77777777" w:rsidR="00CD5946" w:rsidRDefault="00000000">
      <w:pPr>
        <w:spacing w:after="90"/>
        <w:ind w:left="300" w:hanging="300"/>
      </w:pPr>
      <w:r>
        <w:rPr>
          <w:rFonts w:ascii="Arial" w:eastAsia="Arial" w:hAnsi="Arial"/>
          <w:b/>
          <w:bCs/>
          <w:color w:val="15512F"/>
        </w:rPr>
        <w:t xml:space="preserve">7.2.1  </w:t>
      </w:r>
      <w:r>
        <w:rPr>
          <w:rFonts w:ascii="Arial" w:eastAsia="Arial" w:hAnsi="Arial"/>
          <w:color w:val="1A1A1A"/>
        </w:rPr>
        <w:t>The PQS of the Contract Giver shall include the control and review of any outsourced activity. The Contract Giver is responsible for assessing the competence of the Contract Acceptor to carry out the work required and for ensuring, by means of the contract and through monitoring and review, that the principles of GMP are followed. The Contract Giver shall provide the Contract Acceptor with all the information and knowledge necessary to carry out the contracted operations correctly, and shall ensure that the Contract Acceptor is fully aware of any problems associated with the product, work or test that might pose a hazard to premises, equipment, personnel, other materials or other products. The Contract Giver shall review and assess the records and results related to the outsourced activity.</w:t>
      </w:r>
    </w:p>
    <w:p w14:paraId="1C575A31" w14:textId="77777777" w:rsidR="00CD5946" w:rsidRDefault="00000000">
      <w:pPr>
        <w:pStyle w:val="Heading2"/>
      </w:pPr>
      <w:bookmarkStart w:id="87" w:name="__RefHeading___Toc9331_1729075678"/>
      <w:bookmarkEnd w:id="87"/>
      <w:r>
        <w:t>7.3  The Contract Acceptor</w:t>
      </w:r>
    </w:p>
    <w:p w14:paraId="5E2BD28E" w14:textId="77777777" w:rsidR="00CD5946" w:rsidRDefault="00000000">
      <w:pPr>
        <w:spacing w:after="90"/>
        <w:ind w:left="300" w:hanging="300"/>
      </w:pPr>
      <w:r>
        <w:rPr>
          <w:rFonts w:ascii="Arial" w:eastAsia="Arial" w:hAnsi="Arial"/>
          <w:b/>
          <w:bCs/>
          <w:color w:val="15512F"/>
        </w:rPr>
        <w:t xml:space="preserve">7.3.1  </w:t>
      </w:r>
      <w:r>
        <w:rPr>
          <w:rFonts w:ascii="Arial" w:eastAsia="Arial" w:hAnsi="Arial"/>
          <w:color w:val="1A1A1A"/>
        </w:rPr>
        <w:t>The Contract Acceptor shall have adequate premises, equipment, knowledge, experience and competent personnel to carry out the work ordered by the Contract Giver, and shall ensure that all products, materials and knowledge delivered to it are suitable for their intended purpose. The Contract Acceptor shall not pass to a third party any of the work entrusted to it under the contract without the Contract Giver's prior evaluation and approval; arrangements made between the Contract Acceptor and any third party shall ensure that information and knowledge, including assessments of the suitability of the process, are made available in the same way as between the original Contract Giver and Contract Acceptor. The Contract Acceptor shall refrain from any activity (including unauthorised changes) that may adversely affect the quality of the product manufactured and/or analysed for the Contract Giver.</w:t>
      </w:r>
    </w:p>
    <w:p w14:paraId="523979BC" w14:textId="77777777" w:rsidR="00CD5946" w:rsidRDefault="00000000">
      <w:pPr>
        <w:pStyle w:val="Heading2"/>
      </w:pPr>
      <w:bookmarkStart w:id="88" w:name="__RefHeading___Toc9333_1729075678"/>
      <w:bookmarkEnd w:id="88"/>
      <w:r>
        <w:t>7.4  The Contract</w:t>
      </w:r>
    </w:p>
    <w:p w14:paraId="02000D93" w14:textId="77777777" w:rsidR="00CD5946" w:rsidRDefault="00000000">
      <w:pPr>
        <w:spacing w:after="90"/>
        <w:ind w:left="300" w:hanging="300"/>
      </w:pPr>
      <w:r>
        <w:rPr>
          <w:rFonts w:ascii="Arial" w:eastAsia="Arial" w:hAnsi="Arial"/>
          <w:b/>
          <w:bCs/>
          <w:color w:val="15512F"/>
        </w:rPr>
        <w:t xml:space="preserve">7.4.1  </w:t>
      </w:r>
      <w:r>
        <w:rPr>
          <w:rFonts w:ascii="Arial" w:eastAsia="Arial" w:hAnsi="Arial"/>
          <w:color w:val="1A1A1A"/>
        </w:rPr>
        <w:t xml:space="preserve">A written contract / quality (technical) agreement shall be drawn up between the Contract Giver and the Contract Acceptor specifying their respective responsibilities and communication processes relating to the outsourced activities. Technical aspects shall be drawn up by competent persons suitably knowledgeable in the related activities and in GMP. The contract shall describe clearly who is responsible for each step of the outsourced activity — for example knowledge management, technology transfer, supply chain, subcontracting, quality and </w:t>
        <w:lastRenderedPageBreak/>
        <w:t>purchasing of materials, testing and releasing materials, and undertaking production and quality controls (including in-process controls, sampling and analysis). The Contract Acceptor shall not make unauthorised changes outside the terms of the contract, and the contract shall permit the Contract Giver to audit the outsourced activities.</w:t>
      </w:r>
    </w:p>
    <w:p w14:paraId="57155F92" w14:textId="77777777" w:rsidR="00CD5946" w:rsidRDefault="00000000">
      <w:pPr>
        <w:pBdr>
          <w:left w:val="single" w:sz="6" w:space="8" w:color="CFCFCF"/>
        </w:pBdr>
        <w:spacing w:before="20" w:after="140"/>
        <w:ind w:left="300"/>
      </w:pPr>
      <w:r>
        <w:rPr>
          <w:rFonts w:ascii="Arial" w:eastAsia="Arial" w:hAnsi="Arial"/>
          <w:b/>
          <w:bCs/>
          <w:color w:val="5A5A5A"/>
          <w:sz w:val="18"/>
          <w:szCs w:val="18"/>
        </w:rPr>
        <w:t xml:space="preserve">Note.  </w:t>
      </w:r>
      <w:r>
        <w:rPr>
          <w:rFonts w:ascii="Arial" w:eastAsia="Arial" w:hAnsi="Arial"/>
          <w:i/>
          <w:iCs/>
          <w:color w:val="5A5A5A"/>
          <w:sz w:val="18"/>
          <w:szCs w:val="18"/>
        </w:rPr>
        <w:t>For outsourced activities a written contract is essential: it defines the responsibilities of each party, and the Contract Giver remains responsible for assessing the competence and compliance of the Contract Acceptor and for ensuring the principles of this guideline are followed (see Chapter 7 and Part III).</w:t>
      </w:r>
      <w:r>
        <w:br w:type="page"/>
      </w:r>
    </w:p>
    <w:p w14:paraId="6A005375" w14:textId="77777777" w:rsidR="00CD5946" w:rsidRDefault="00000000">
      <w:pPr>
        <w:spacing w:after="60"/>
        <w:jc w:val="both"/>
      </w:pPr>
      <w:r>
        <w:rPr>
          <w:rFonts w:ascii="Calibri" w:eastAsia="Calibri" w:hAnsi="Calibri"/>
          <w:b/>
          <w:color w:val="0E5A50"/>
          <w:sz w:val="20"/>
        </w:rPr>
        <w:lastRenderedPageBreak/>
        <w:t xml:space="preserve">7.4.2  </w:t>
      </w:r>
      <w:r>
        <w:rPr>
          <w:sz w:val="20"/>
        </w:rPr>
        <w:t>The written contract shall permit the Contract Giver to audit the Contract Acceptor’s facilities and activities, and shall specify the handling of materials, the responsibility for purchasing, testing and release, and the retention of records.</w:t>
      </w:r>
    </w:p>
    <w:p w14:paraId="298EA42B" w14:textId="77777777" w:rsidR="00CD5946" w:rsidRDefault="00000000">
      <w:pPr>
        <w:bidi/>
        <w:spacing w:before="20" w:after="60"/>
        <w:jc w:val="both"/>
      </w:pPr>
      <w:r>
        <w:rPr>
          <w:rFonts w:ascii="Arial" w:eastAsia="Arial" w:hAnsi="Arial"/>
          <w:sz w:val="20"/>
          <w:rtl/>
        </w:rPr>
        <w:t xml:space="preserve">يُجيز العقد المكتوب لمانح العقد تدقيق مرافق متلقّي العقد وأنشطته، ويحدِّد مناولة المواد ومسؤولية الشراء والاختبار والإفراج وحفظ السجلّات.  </w:t>
      </w:r>
      <w:r>
        <w:rPr>
          <w:rFonts w:ascii="Calibri" w:eastAsia="Calibri" w:hAnsi="Calibri"/>
          <w:b/>
          <w:color w:val="14756A"/>
          <w:sz w:val="20"/>
        </w:rPr>
        <w:t>7.4.2</w:t>
      </w:r>
    </w:p>
    <w:p w14:paraId="603CD857" w14:textId="77777777" w:rsidR="00CD5946" w:rsidRDefault="00000000">
      <w:pPr>
        <w:spacing w:before="20" w:after="60"/>
        <w:jc w:val="both"/>
      </w:pPr>
      <w:r>
        <w:rPr>
          <w:rFonts w:ascii="Calibri" w:eastAsia="Calibri" w:hAnsi="Calibri"/>
          <w:b/>
          <w:color w:val="0E5A50"/>
          <w:sz w:val="20"/>
        </w:rPr>
        <w:t xml:space="preserve">7.4.3  </w:t>
      </w:r>
      <w:r>
        <w:rPr>
          <w:sz w:val="20"/>
        </w:rPr>
        <w:t>The Contract Acceptor shall not subcontract any work entrusted under the contract without the Contract Giver’s prior evaluation and written approval.</w:t>
      </w:r>
    </w:p>
    <w:p w14:paraId="19446FD4" w14:textId="77777777" w:rsidR="00CD5946" w:rsidRDefault="00000000">
      <w:pPr>
        <w:bidi/>
        <w:spacing w:before="20" w:after="60"/>
        <w:jc w:val="both"/>
      </w:pPr>
      <w:r>
        <w:rPr>
          <w:rFonts w:ascii="Arial" w:eastAsia="Arial" w:hAnsi="Arial"/>
          <w:sz w:val="20"/>
          <w:rtl/>
        </w:rPr>
        <w:t xml:space="preserve">لا يجوز لمتلقّي العقد التعاقد من الباطن على أيّ عمل مُسنَد إليه دون تقييم مانح العقد المسبق وموافقته الخطّية.  </w:t>
      </w:r>
      <w:r>
        <w:rPr>
          <w:rFonts w:ascii="Calibri" w:eastAsia="Calibri" w:hAnsi="Calibri"/>
          <w:b/>
          <w:color w:val="14756A"/>
          <w:sz w:val="20"/>
        </w:rPr>
        <w:t>7.4.3</w:t>
      </w:r>
    </w:p>
    <w:p w14:paraId="7182D2E8" w14:textId="77777777" w:rsidR="00CD5946" w:rsidRDefault="00000000">
      <w:pPr>
        <w:pStyle w:val="Heading1"/>
        <w:spacing w:before="0"/>
      </w:pPr>
      <w:bookmarkStart w:id="89" w:name="__RefHeading___Toc9335_1729075678"/>
      <w:bookmarkEnd w:id="89"/>
      <w:r>
        <w:t>Chapter 8 — Complaints, Quality Defects and Product Recalls</w:t>
      </w:r>
    </w:p>
    <w:p w14:paraId="42E205A4" w14:textId="77777777" w:rsidR="00CD5946" w:rsidRDefault="00000000">
      <w:pPr>
        <w:pBdr>
          <w:left w:val="single" w:sz="16" w:space="8" w:color="C8A24B"/>
        </w:pBdr>
        <w:spacing w:before="60" w:after="140"/>
        <w:ind w:left="160"/>
      </w:pPr>
      <w:r>
        <w:rPr>
          <w:rFonts w:ascii="Arial" w:eastAsia="Arial" w:hAnsi="Arial"/>
          <w:b/>
          <w:bCs/>
          <w:color w:val="B08C37"/>
        </w:rPr>
        <w:t xml:space="preserve">Principle.  </w:t>
      </w:r>
      <w:r>
        <w:rPr>
          <w:rFonts w:ascii="Arial" w:eastAsia="Arial" w:hAnsi="Arial"/>
          <w:color w:val="1A1A1A"/>
        </w:rPr>
        <w:t>In order to protect public and animal health, a system and appropriate procedures shall be in place to record, assess, investigate and review complaints, including potential quality defects, and, where necessary, to effectively and promptly recall medicinal products from the distribution network. Quality Risk Management principles shall be applied to the investigation, assessment, decision-making and actions taken in response to quality defects.</w:t>
      </w:r>
    </w:p>
    <w:p w14:paraId="73FF4C0D" w14:textId="77777777" w:rsidR="00CD5946" w:rsidRDefault="00000000">
      <w:pPr>
        <w:spacing w:before="20" w:after="140"/>
      </w:pPr>
      <w:r>
        <w:rPr>
          <w:rFonts w:ascii="Arial" w:eastAsia="Arial" w:hAnsi="Arial"/>
          <w:b/>
          <w:bCs/>
          <w:color w:val="B08C37"/>
          <w:sz w:val="17"/>
          <w:szCs w:val="17"/>
        </w:rPr>
        <w:t xml:space="preserve">Harmonised with: </w:t>
      </w:r>
      <w:r>
        <w:rPr>
          <w:rFonts w:ascii="Arial" w:eastAsia="Arial" w:hAnsi="Arial"/>
          <w:i/>
          <w:iCs/>
          <w:color w:val="5A5A5A"/>
          <w:sz w:val="17"/>
          <w:szCs w:val="17"/>
        </w:rPr>
        <w:t>EU GMP Part I, Chapter 8 · SFDA GMP Guide v4.4, Chapter 8 · WHO TRS 986, Annex 2 · US FDA 21 CFR 211 Subpart J</w:t>
      </w:r>
    </w:p>
    <w:p w14:paraId="24158902" w14:textId="77777777" w:rsidR="00CD5946" w:rsidRDefault="00000000">
      <w:pPr>
        <w:pStyle w:val="Heading2"/>
      </w:pPr>
      <w:bookmarkStart w:id="90" w:name="__RefHeading___Toc9337_1729075678"/>
      <w:bookmarkEnd w:id="90"/>
      <w:r>
        <w:t>8.1  Personnel and organisation</w:t>
      </w:r>
    </w:p>
    <w:p w14:paraId="6935D5FC" w14:textId="77777777" w:rsidR="00CD5946" w:rsidRDefault="00000000">
      <w:pPr>
        <w:spacing w:after="90"/>
        <w:ind w:left="300" w:hanging="300"/>
      </w:pPr>
      <w:r>
        <w:rPr>
          <w:rFonts w:ascii="Arial" w:eastAsia="Arial" w:hAnsi="Arial"/>
          <w:b/>
          <w:bCs/>
          <w:color w:val="15512F"/>
        </w:rPr>
        <w:t xml:space="preserve">8.1.1  </w:t>
      </w:r>
      <w:r>
        <w:rPr>
          <w:rFonts w:ascii="Arial" w:eastAsia="Arial" w:hAnsi="Arial"/>
          <w:color w:val="1A1A1A"/>
        </w:rPr>
        <w:t>Appropriately trained and experienced personnel shall be responsible for managing complaint and quality-defect investigations and for deciding the measures to be taken. They shall be independent of sales and marketing, or there shall be measures to demonstrate such independence. Where the responsible person is not the Authorised/Qualified Person involved in certification, the latter shall be made formally aware of any investigations, risk-reducing actions and recall operations in a timely manner. Sufficient trained personnel and resources shall be available for the handling, assessment, investigation and review of complaints and for implementing any risk-reducing actions.</w:t>
      </w:r>
    </w:p>
    <w:p w14:paraId="515F1098" w14:textId="77777777" w:rsidR="00CD5946" w:rsidRDefault="00000000">
      <w:pPr>
        <w:pStyle w:val="Heading2"/>
      </w:pPr>
      <w:bookmarkStart w:id="91" w:name="__RefHeading___Toc9339_1729075678"/>
      <w:bookmarkEnd w:id="91"/>
      <w:r>
        <w:t>8.2  Handling and investigating complaints</w:t>
      </w:r>
    </w:p>
    <w:p w14:paraId="470C6E36" w14:textId="77777777" w:rsidR="00CD5946" w:rsidRDefault="00000000">
      <w:pPr>
        <w:spacing w:after="90"/>
        <w:ind w:left="300" w:hanging="300"/>
      </w:pPr>
      <w:r>
        <w:rPr>
          <w:rFonts w:ascii="Arial" w:eastAsia="Arial" w:hAnsi="Arial"/>
          <w:b/>
          <w:bCs/>
          <w:color w:val="15512F"/>
        </w:rPr>
        <w:t xml:space="preserve">8.2.1  </w:t>
      </w:r>
      <w:r>
        <w:rPr>
          <w:rFonts w:ascii="Arial" w:eastAsia="Arial" w:hAnsi="Arial"/>
          <w:color w:val="1A1A1A"/>
        </w:rPr>
        <w:t>There shall be written procedures describing the actions to be taken upon receipt of a complaint. All complaints shall be documented and assessed to establish whether they represent a potential quality defect or other issue. Special attention shall be given to establishing whether a complaint or suspected quality defect relates to falsification. Because not all complaints received represent actual quality defects, complaints which do not indicate a potential quality defect shall be documented appropriately and communicated to the relevant group responsible for the investigation and management of complaints of that type. There shall be procedures in place to facilitate a request to investigate the quality of a batch in order to support a decision.</w:t>
      </w:r>
    </w:p>
    <w:p w14:paraId="42ECE309" w14:textId="77777777" w:rsidR="00CD5946" w:rsidRDefault="00000000">
      <w:pPr>
        <w:spacing w:after="90"/>
        <w:ind w:left="300" w:hanging="300"/>
      </w:pPr>
      <w:r>
        <w:rPr>
          <w:rFonts w:ascii="Arial" w:eastAsia="Arial" w:hAnsi="Arial"/>
          <w:b/>
          <w:bCs/>
          <w:color w:val="15512F"/>
        </w:rPr>
        <w:t xml:space="preserve">8.2.2  </w:t>
      </w:r>
      <w:r>
        <w:rPr>
          <w:rFonts w:ascii="Arial" w:eastAsia="Arial" w:hAnsi="Arial"/>
          <w:color w:val="1A1A1A"/>
        </w:rPr>
        <w:t>The investigation of a quality defect shall include a review of whether other batches or products may be affected; the severity of the defect and the potential risk to the patient shall be evaluated. Investigations shall determine the root cause where possible and identify appropriate corrective and preventive action. Quality-defect investigations shall include reference to other relevant information, for example previous defects, recalls, returns and adverse-event reports.</w:t>
      </w:r>
    </w:p>
    <w:p w14:paraId="14CEACCF" w14:textId="77777777" w:rsidR="00CD5946" w:rsidRDefault="00000000">
      <w:pPr>
        <w:pStyle w:val="Heading2"/>
      </w:pPr>
      <w:bookmarkStart w:id="92" w:name="__RefHeading___Toc9341_1729075678"/>
      <w:bookmarkEnd w:id="92"/>
      <w:r>
        <w:t>8.3  Root cause analysis and corrective and preventive actions</w:t>
      </w:r>
    </w:p>
    <w:p w14:paraId="57C84130" w14:textId="77777777" w:rsidR="00CD5946" w:rsidRDefault="00000000">
      <w:pPr>
        <w:spacing w:after="90"/>
        <w:ind w:left="300" w:hanging="300"/>
      </w:pPr>
      <w:r>
        <w:rPr>
          <w:rFonts w:ascii="Arial" w:eastAsia="Arial" w:hAnsi="Arial"/>
          <w:b/>
          <w:bCs/>
          <w:color w:val="15512F"/>
        </w:rPr>
        <w:t xml:space="preserve">8.3.1  </w:t>
      </w:r>
      <w:r>
        <w:rPr>
          <w:rFonts w:ascii="Arial" w:eastAsia="Arial" w:hAnsi="Arial"/>
          <w:color w:val="1A1A1A"/>
        </w:rPr>
        <w:t xml:space="preserve">An appropriate level of root-cause analysis shall be applied during the investigation; where the true root cause(s) cannot be determined, consideration shall be given to identifying the most likely root cause(s) and addressing them. Where human error is suspected or identified, this shall </w:t>
        <w:lastRenderedPageBreak/>
        <w:t>be justified, having taken care to ensure that process, procedural or system-based errors or problems have not been overlooked. Appropriate CAPA shall be identified and taken in response, and the effectiveness of those actions monitored and assessed.</w:t>
      </w:r>
    </w:p>
    <w:p w14:paraId="3879ACEC" w14:textId="77777777" w:rsidR="00CD5946" w:rsidRDefault="00000000">
      <w:pPr>
        <w:pStyle w:val="Heading2"/>
      </w:pPr>
      <w:bookmarkStart w:id="93" w:name="__RefHeading___Toc9343_1729075678"/>
      <w:bookmarkEnd w:id="93"/>
      <w:r>
        <w:t>8.4  Product recalls and other potential risk-reducing actions</w:t>
      </w:r>
    </w:p>
    <w:p w14:paraId="2EEBB573" w14:textId="77777777" w:rsidR="00CD5946" w:rsidRDefault="00000000">
      <w:pPr>
        <w:spacing w:after="90"/>
        <w:ind w:left="300" w:hanging="300"/>
      </w:pPr>
      <w:r>
        <w:rPr>
          <w:rFonts w:ascii="Arial" w:eastAsia="Arial" w:hAnsi="Arial"/>
          <w:b/>
          <w:bCs/>
          <w:color w:val="15512F"/>
        </w:rPr>
        <w:t xml:space="preserve">8.4.1  </w:t>
      </w:r>
      <w:r>
        <w:rPr>
          <w:rFonts w:ascii="Arial" w:eastAsia="Arial" w:hAnsi="Arial"/>
          <w:color w:val="1A1A1A"/>
        </w:rPr>
        <w:t>There shall be established written procedures, regularly reviewed and updated where necessary, to undertake any recall activity or implement any other risk-reducing actions. Recall operations shall be capable of being initiated promptly and at any time. The competent authorities of all countries to which a given product may have been distributed shall be informed in a timely manner where the product is intended to be recalled because of an actual or suspected defect. In addition, quality defects shall be reported in a timely manner to the marketing-authorisation holder and to all concerned competent authorities whenever the defect may result in recall or in an abnormal restriction in supply, whether or not a recall is ultimately initiated. Where a batch is recalled, the distribution records shall be readily available to permit effective recall to the level required; the progress of the recall process shall be recorded and a final report issued, including a reconciliation between the delivered and recovered quantities. The effectiveness of the arrangements for recall shall be evaluated periodically (for example through mock recalls). Recalled products shall be identified and stored separately in a secure area while awaiting a decision on their fate.</w:t>
      </w:r>
    </w:p>
    <w:p w14:paraId="239CBCD8" w14:textId="77777777" w:rsidR="00CD5946" w:rsidRDefault="00000000">
      <w:pPr>
        <w:pBdr>
          <w:left w:val="single" w:sz="6" w:space="8" w:color="CFCFCF"/>
        </w:pBdr>
        <w:spacing w:before="20" w:after="140"/>
        <w:ind w:left="300"/>
      </w:pPr>
      <w:r>
        <w:rPr>
          <w:rFonts w:ascii="Arial" w:eastAsia="Arial" w:hAnsi="Arial"/>
          <w:b/>
          <w:bCs/>
          <w:color w:val="5A5A5A"/>
          <w:sz w:val="18"/>
          <w:szCs w:val="18"/>
        </w:rPr>
        <w:t xml:space="preserve">Note.  </w:t>
      </w:r>
      <w:r>
        <w:rPr>
          <w:rFonts w:ascii="Arial" w:eastAsia="Arial" w:hAnsi="Arial"/>
          <w:i/>
          <w:iCs/>
          <w:color w:val="5A5A5A"/>
          <w:sz w:val="18"/>
          <w:szCs w:val="18"/>
        </w:rPr>
        <w:t>A designated, suitably empowered person is responsible for the execution and coordination of a recall. The effectiveness of the recall arrangements is tested periodically (for example by a mock recall), and the speed of a Class I recall should allow product to be retrieved promptly at all levels of the supply chain.</w:t>
      </w:r>
      <w:r>
        <w:br w:type="page"/>
      </w:r>
    </w:p>
    <w:p w14:paraId="4F05698F" w14:textId="77777777" w:rsidR="00CD5946" w:rsidRDefault="00000000">
      <w:pPr>
        <w:spacing w:after="60"/>
        <w:jc w:val="both"/>
      </w:pPr>
      <w:r>
        <w:rPr>
          <w:rFonts w:ascii="Calibri" w:eastAsia="Calibri" w:hAnsi="Calibri"/>
          <w:b/>
          <w:color w:val="0E5A50"/>
          <w:sz w:val="20"/>
        </w:rPr>
        <w:lastRenderedPageBreak/>
        <w:t xml:space="preserve">8.4.2  </w:t>
      </w:r>
      <w:r>
        <w:rPr>
          <w:sz w:val="20"/>
        </w:rPr>
        <w:t>Recall operations shall be capable of being initiated promptly and at any time, shall reach the required level of the distribution chain, and shall be supported by reconciliation between delivered and recovered quantities.</w:t>
      </w:r>
    </w:p>
    <w:p w14:paraId="1DAF6A8B" w14:textId="77777777" w:rsidR="00CD5946" w:rsidRDefault="00000000">
      <w:pPr>
        <w:bidi/>
        <w:spacing w:before="20" w:after="60"/>
        <w:jc w:val="both"/>
      </w:pPr>
      <w:r>
        <w:rPr>
          <w:rFonts w:ascii="Arial" w:eastAsia="Arial" w:hAnsi="Arial"/>
          <w:sz w:val="20"/>
          <w:rtl/>
        </w:rPr>
        <w:t xml:space="preserve">تكون عمليات الاستدعاء قابلة للتفعيل الفوري في أيّ وقت، وتبلغ المستوى المطلوب من سلسلة التوزيع، وتُدعَم بموازنة بين الكمّيات المسلَّمة والمستردّة.  </w:t>
      </w:r>
      <w:r>
        <w:rPr>
          <w:rFonts w:ascii="Calibri" w:eastAsia="Calibri" w:hAnsi="Calibri"/>
          <w:b/>
          <w:color w:val="14756A"/>
          <w:sz w:val="20"/>
        </w:rPr>
        <w:t>8.4.2</w:t>
      </w:r>
    </w:p>
    <w:p w14:paraId="6D9716EF" w14:textId="77777777" w:rsidR="00CD5946" w:rsidRDefault="00000000">
      <w:pPr>
        <w:spacing w:before="20" w:after="60"/>
        <w:jc w:val="both"/>
      </w:pPr>
      <w:r>
        <w:rPr>
          <w:rFonts w:ascii="Calibri" w:eastAsia="Calibri" w:hAnsi="Calibri"/>
          <w:b/>
          <w:color w:val="0E5A50"/>
          <w:sz w:val="20"/>
        </w:rPr>
        <w:t xml:space="preserve">8.4.3  </w:t>
      </w:r>
      <w:r>
        <w:rPr>
          <w:sz w:val="20"/>
        </w:rPr>
        <w:t>The effectiveness of the recall arrangements shall be evaluated periodically (for example by mock recalls), and competent authorities of countries to which the product may have been distributed shall be informed promptly of recalls arising from a quality defect.</w:t>
      </w:r>
    </w:p>
    <w:p w14:paraId="5857B0C1" w14:textId="77777777" w:rsidR="00CD5946" w:rsidRDefault="00000000">
      <w:pPr>
        <w:bidi/>
        <w:spacing w:before="20" w:after="60"/>
        <w:jc w:val="both"/>
      </w:pPr>
      <w:r>
        <w:rPr>
          <w:rFonts w:ascii="Arial" w:eastAsia="Arial" w:hAnsi="Arial"/>
          <w:sz w:val="20"/>
          <w:rtl/>
        </w:rPr>
        <w:t xml:space="preserve">تُقيَّم فاعليّة ترتيبات الاستدعاء دورياً (مثلاً باستدعاءات تجريبية)، وتُبلَّغ الجهات المختصّة في الدول التي قد يكون المنتج وُزِّع إليها فوراً بالاستدعاءات الناشئة عن عيب جودة.  </w:t>
      </w:r>
      <w:r>
        <w:rPr>
          <w:rFonts w:ascii="Calibri" w:eastAsia="Calibri" w:hAnsi="Calibri"/>
          <w:b/>
          <w:color w:val="14756A"/>
          <w:sz w:val="20"/>
        </w:rPr>
        <w:t>8.4.3</w:t>
      </w:r>
    </w:p>
    <w:p w14:paraId="3724C58A" w14:textId="77777777" w:rsidR="00CD5946" w:rsidRDefault="00000000">
      <w:pPr>
        <w:pStyle w:val="Heading1"/>
        <w:spacing w:before="0"/>
      </w:pPr>
      <w:bookmarkStart w:id="94" w:name="__RefHeading___Toc9345_1729075678"/>
      <w:bookmarkEnd w:id="94"/>
      <w:r>
        <w:t>Chapter 9 — Self-Inspection</w:t>
      </w:r>
    </w:p>
    <w:p w14:paraId="18BB086A" w14:textId="77777777" w:rsidR="00CD5946" w:rsidRDefault="00000000">
      <w:pPr>
        <w:pBdr>
          <w:left w:val="single" w:sz="16" w:space="8" w:color="C8A24B"/>
        </w:pBdr>
        <w:spacing w:before="60" w:after="140"/>
        <w:ind w:left="160"/>
      </w:pPr>
      <w:r>
        <w:rPr>
          <w:rFonts w:ascii="Arial" w:eastAsia="Arial" w:hAnsi="Arial"/>
          <w:b/>
          <w:bCs/>
          <w:color w:val="B08C37"/>
        </w:rPr>
        <w:t xml:space="preserve">Principle.  </w:t>
      </w:r>
      <w:r>
        <w:rPr>
          <w:rFonts w:ascii="Arial" w:eastAsia="Arial" w:hAnsi="Arial"/>
          <w:color w:val="1A1A1A"/>
        </w:rPr>
        <w:t>Self-inspections shall be conducted in order to monitor the implementation and compliance with Good Manufacturing Practice principles and to propose necessary corrective measures. Personnel matters, premises, equipment, documentation, production, quality control, distribution of the medicinal products, arrangements for dealing with complaints and recalls, and self-inspection itself shall be examined at intervals following a prearranged programme in order to verify their conformity with the principles of the PQS.</w:t>
      </w:r>
    </w:p>
    <w:p w14:paraId="5A3E96B5" w14:textId="77777777" w:rsidR="00CD5946" w:rsidRDefault="00000000">
      <w:pPr>
        <w:spacing w:before="20" w:after="140"/>
      </w:pPr>
      <w:r>
        <w:rPr>
          <w:rFonts w:ascii="Arial" w:eastAsia="Arial" w:hAnsi="Arial"/>
          <w:b/>
          <w:bCs/>
          <w:color w:val="B08C37"/>
          <w:sz w:val="17"/>
          <w:szCs w:val="17"/>
        </w:rPr>
        <w:t xml:space="preserve">Harmonised with: </w:t>
      </w:r>
      <w:r>
        <w:rPr>
          <w:rFonts w:ascii="Arial" w:eastAsia="Arial" w:hAnsi="Arial"/>
          <w:i/>
          <w:iCs/>
          <w:color w:val="5A5A5A"/>
          <w:sz w:val="17"/>
          <w:szCs w:val="17"/>
        </w:rPr>
        <w:t>EU GMP Part I, Chapter 9 · SFDA GMP Guide v4.4, Chapter 9 · WHO TRS 986, Annex 2</w:t>
      </w:r>
    </w:p>
    <w:p w14:paraId="2E28938B" w14:textId="77777777" w:rsidR="00CD5946" w:rsidRDefault="00000000">
      <w:pPr>
        <w:pStyle w:val="Heading2"/>
      </w:pPr>
      <w:bookmarkStart w:id="95" w:name="__RefHeading___Toc9347_1729075678"/>
      <w:bookmarkEnd w:id="95"/>
      <w:r>
        <w:t>9.1  Self-inspection</w:t>
      </w:r>
    </w:p>
    <w:p w14:paraId="65B103A6" w14:textId="77777777" w:rsidR="00CD5946" w:rsidRDefault="00000000">
      <w:pPr>
        <w:spacing w:after="90"/>
        <w:ind w:left="300" w:hanging="300"/>
      </w:pPr>
      <w:r>
        <w:rPr>
          <w:rFonts w:ascii="Arial" w:eastAsia="Arial" w:hAnsi="Arial"/>
          <w:b/>
          <w:bCs/>
          <w:color w:val="15512F"/>
        </w:rPr>
        <w:t xml:space="preserve">9.1.1  </w:t>
      </w:r>
      <w:r>
        <w:rPr>
          <w:rFonts w:ascii="Arial" w:eastAsia="Arial" w:hAnsi="Arial"/>
          <w:color w:val="1A1A1A"/>
        </w:rPr>
        <w:t>Self-inspections shall be conducted in an independent and detailed way by designated competent person(s) from the company. Independent audits by external experts may also be useful. The programme shall cover all areas relevant to GMP and shall be carried out at defined intervals on a risk basis (normally at least annually for each area).</w:t>
      </w:r>
    </w:p>
    <w:p w14:paraId="52E5F46F" w14:textId="77777777" w:rsidR="00CD5946" w:rsidRDefault="00000000">
      <w:pPr>
        <w:spacing w:after="90"/>
        <w:ind w:left="300" w:hanging="300"/>
      </w:pPr>
      <w:r>
        <w:rPr>
          <w:rFonts w:ascii="Arial" w:eastAsia="Arial" w:hAnsi="Arial"/>
          <w:b/>
          <w:bCs/>
          <w:color w:val="15512F"/>
        </w:rPr>
        <w:t xml:space="preserve">9.1.2  </w:t>
      </w:r>
      <w:r>
        <w:rPr>
          <w:rFonts w:ascii="Arial" w:eastAsia="Arial" w:hAnsi="Arial"/>
          <w:color w:val="1A1A1A"/>
        </w:rPr>
        <w:t>All self-inspections shall be recorded. Reports shall contain all the observations made during the inspections and, where applicable, proposals for corrective measures. Statements on the actions subsequently taken, and the effectiveness of those actions, shall also be recorded. Findings shall be entered into the CAPA system, tracked to completion, and their effectiveness verified. The frequency of self-inspection should be increased in areas where findings indicate a need for greater oversight.</w:t>
      </w:r>
    </w:p>
    <w:p w14:paraId="5ADF2D33" w14:textId="77777777" w:rsidR="00CD5946" w:rsidRDefault="00000000">
      <w:pPr>
        <w:pBdr>
          <w:left w:val="single" w:sz="6" w:space="8" w:color="CFCFCF"/>
        </w:pBdr>
        <w:spacing w:before="20" w:after="140"/>
        <w:ind w:left="300"/>
      </w:pPr>
      <w:r>
        <w:rPr>
          <w:rFonts w:ascii="Arial" w:eastAsia="Arial" w:hAnsi="Arial"/>
          <w:b/>
          <w:bCs/>
          <w:color w:val="5A5A5A"/>
          <w:sz w:val="18"/>
          <w:szCs w:val="18"/>
        </w:rPr>
        <w:t xml:space="preserve">Note.  </w:t>
      </w:r>
      <w:r>
        <w:rPr>
          <w:rFonts w:ascii="Arial" w:eastAsia="Arial" w:hAnsi="Arial"/>
          <w:i/>
          <w:iCs/>
          <w:color w:val="5A5A5A"/>
          <w:sz w:val="18"/>
          <w:szCs w:val="18"/>
        </w:rPr>
        <w:t>Self-inspections are conducted by competent, designated persons who are independent of the area being inspected; external or third-party audits may supplement, but do not replace, the internal self-inspection programme. Findings and the resulting corrective and preventive actions are recorded and followed to closure.</w:t>
      </w:r>
    </w:p>
    <w:p w14:paraId="3ED5E66D" w14:textId="77777777" w:rsidR="00CD5946" w:rsidRDefault="00000000">
      <w:pPr>
        <w:spacing w:before="260" w:after="0"/>
        <w:jc w:val="center"/>
      </w:pPr>
      <w:r>
        <w:rPr>
          <w:noProof/>
        </w:rPr>
        <w:drawing>
          <wp:inline distT="0" distB="0" distL="0" distR="0" wp14:anchorId="09801867" wp14:editId="1234CEC2">
            <wp:extent cx="876300" cy="1238250"/>
            <wp:effectExtent l="0" t="0" r="0" b="0"/>
            <wp:docPr id="3" name="Image2"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2EF5C8D4" w14:textId="77777777" w:rsidR="00CD5946" w:rsidRDefault="00000000">
      <w:pPr>
        <w:spacing w:before="50" w:after="0"/>
        <w:jc w:val="center"/>
      </w:pPr>
      <w:r>
        <w:rPr>
          <w:rFonts w:ascii="Arial" w:eastAsia="Arial" w:hAnsi="Arial"/>
          <w:b/>
          <w:bCs/>
          <w:color w:val="15512F"/>
          <w:sz w:val="19"/>
          <w:szCs w:val="19"/>
        </w:rPr>
        <w:t>AUPAM EXPERTS' OFFICE</w:t>
      </w:r>
    </w:p>
    <w:p w14:paraId="26262FB4"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2200D932" w14:textId="77777777" w:rsidR="00CD5946" w:rsidRDefault="00000000">
      <w:pPr>
        <w:spacing w:before="10" w:after="0"/>
        <w:jc w:val="center"/>
      </w:pPr>
      <w:r>
        <w:rPr>
          <w:rFonts w:ascii="Arial" w:eastAsia="Arial" w:hAnsi="Arial"/>
          <w:b/>
          <w:bCs/>
          <w:color w:val="B08C37"/>
          <w:sz w:val="24"/>
          <w:szCs w:val="24"/>
        </w:rPr>
        <w:t>2026 EDITION</w:t>
      </w:r>
    </w:p>
    <w:p w14:paraId="15990D9C" w14:textId="77777777" w:rsidR="00CD5946" w:rsidRDefault="00000000">
      <w:pPr>
        <w:spacing w:before="260" w:after="0"/>
        <w:jc w:val="center"/>
      </w:pPr>
      <w:r>
        <w:rPr>
          <w:rFonts w:ascii="Arial" w:eastAsia="Arial" w:hAnsi="Arial"/>
          <w:b/>
          <w:bCs/>
          <w:color w:val="15512F"/>
          <w:sz w:val="54"/>
          <w:szCs w:val="54"/>
        </w:rPr>
        <w:lastRenderedPageBreak/>
        <w:t>PART II &amp; III</w:t>
      </w:r>
    </w:p>
    <w:p w14:paraId="2BABE739" w14:textId="77777777" w:rsidR="00CD5946" w:rsidRDefault="00000000">
      <w:pPr>
        <w:spacing w:before="40" w:after="0"/>
        <w:jc w:val="center"/>
      </w:pPr>
      <w:r>
        <w:rPr>
          <w:rFonts w:ascii="Arial" w:eastAsia="Arial" w:hAnsi="Arial"/>
          <w:b/>
          <w:bCs/>
          <w:color w:val="1A1A1A"/>
          <w:sz w:val="28"/>
          <w:szCs w:val="28"/>
        </w:rPr>
        <w:t>Active Substances (APIs) and GMP-related Documents</w:t>
      </w:r>
    </w:p>
    <w:p w14:paraId="7CD24F78" w14:textId="77777777" w:rsidR="00CD5946" w:rsidRDefault="00000000">
      <w:pPr>
        <w:spacing w:before="16" w:after="0"/>
        <w:jc w:val="center"/>
      </w:pPr>
      <w:r>
        <w:rPr>
          <w:rFonts w:ascii="Arial" w:eastAsia="Arial" w:hAnsi="Arial"/>
          <w:color w:val="5A5A5A"/>
          <w:sz w:val="22"/>
          <w:szCs w:val="22"/>
        </w:rPr>
        <w:t>ICH Q7 · SMF · Q9 · Q10</w:t>
      </w:r>
    </w:p>
    <w:p w14:paraId="2B3F9FAA" w14:textId="77777777" w:rsidR="00CD5946" w:rsidRDefault="00000000">
      <w:pPr>
        <w:spacing w:before="26" w:after="0"/>
        <w:jc w:val="center"/>
      </w:pPr>
      <w:r>
        <w:rPr>
          <w:rFonts w:ascii="Arial" w:eastAsia="Arial" w:hAnsi="Arial"/>
          <w:b/>
          <w:bCs/>
          <w:color w:val="15512F"/>
          <w:sz w:val="22"/>
          <w:szCs w:val="22"/>
          <w:rtl/>
        </w:rPr>
        <w:t>الجزء</w:t>
      </w:r>
      <w:r>
        <w:rPr>
          <w:rFonts w:ascii="Arial" w:eastAsia="Arial" w:hAnsi="Arial"/>
          <w:b/>
          <w:bCs/>
          <w:color w:val="15512F"/>
          <w:sz w:val="22"/>
          <w:szCs w:val="22"/>
        </w:rPr>
        <w:t xml:space="preserve"> II (</w:t>
      </w:r>
      <w:r>
        <w:rPr>
          <w:rFonts w:ascii="Arial" w:eastAsia="Arial" w:hAnsi="Arial"/>
          <w:b/>
          <w:bCs/>
          <w:color w:val="15512F"/>
          <w:sz w:val="22"/>
          <w:szCs w:val="22"/>
          <w:rtl/>
        </w:rPr>
        <w:t>المواد الفعّالة</w:t>
      </w:r>
      <w:r>
        <w:rPr>
          <w:rFonts w:ascii="Arial" w:eastAsia="Arial" w:hAnsi="Arial"/>
          <w:b/>
          <w:bCs/>
          <w:color w:val="15512F"/>
          <w:sz w:val="22"/>
          <w:szCs w:val="22"/>
        </w:rPr>
        <w:t xml:space="preserve">) </w:t>
      </w:r>
      <w:r>
        <w:rPr>
          <w:rFonts w:ascii="Arial" w:eastAsia="Arial" w:hAnsi="Arial"/>
          <w:b/>
          <w:bCs/>
          <w:color w:val="15512F"/>
          <w:sz w:val="22"/>
          <w:szCs w:val="22"/>
          <w:rtl/>
        </w:rPr>
        <w:t>والجزء</w:t>
      </w:r>
      <w:r>
        <w:rPr>
          <w:rFonts w:ascii="Arial" w:eastAsia="Arial" w:hAnsi="Arial"/>
          <w:b/>
          <w:bCs/>
          <w:color w:val="15512F"/>
          <w:sz w:val="22"/>
          <w:szCs w:val="22"/>
        </w:rPr>
        <w:t xml:space="preserve"> III</w:t>
      </w:r>
    </w:p>
    <w:p w14:paraId="42DCF3FB"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3188B901" w14:textId="77777777" w:rsidR="00CD5946" w:rsidRDefault="00000000">
      <w:r>
        <w:br w:type="page"/>
      </w:r>
    </w:p>
    <w:p w14:paraId="652E2684" w14:textId="77777777" w:rsidR="00CD5946" w:rsidRDefault="00000000">
      <w:pPr>
        <w:spacing w:after="60"/>
        <w:jc w:val="both"/>
      </w:pPr>
      <w:r>
        <w:rPr>
          <w:rFonts w:ascii="Calibri" w:eastAsia="Calibri" w:hAnsi="Calibri"/>
          <w:b/>
          <w:color w:val="0E5A50"/>
          <w:sz w:val="20"/>
        </w:rPr>
        <w:lastRenderedPageBreak/>
        <w:t xml:space="preserve">9.1.3  </w:t>
      </w:r>
      <w:r>
        <w:rPr>
          <w:sz w:val="20"/>
        </w:rPr>
        <w:t>Self-inspections shall be conducted according to a risk-based programme to verify compliance with GMP and to propose corrective measures; they shall be performed by competent, objective persons, and may be complemented by independent quality audits.</w:t>
      </w:r>
    </w:p>
    <w:p w14:paraId="368876E9" w14:textId="77777777" w:rsidR="00CD5946" w:rsidRDefault="00000000">
      <w:pPr>
        <w:bidi/>
        <w:spacing w:before="20" w:after="60"/>
        <w:jc w:val="both"/>
      </w:pPr>
      <w:r>
        <w:rPr>
          <w:rFonts w:ascii="Arial" w:eastAsia="Arial" w:hAnsi="Arial"/>
          <w:sz w:val="20"/>
          <w:rtl/>
        </w:rPr>
        <w:t xml:space="preserve">يُجرى التفتيش الذاتي وفق برنامج قائم على المخاطر للتحقّق من الالتزام بالممارسات الجيدة واقتراح التدابير التصحيحية، ويؤدّيه أشخاص أكفّاء موضوعيون، ويجوز استكماله بتدقيقات جودة مستقلّة.  </w:t>
      </w:r>
      <w:r>
        <w:rPr>
          <w:rFonts w:ascii="Calibri" w:eastAsia="Calibri" w:hAnsi="Calibri"/>
          <w:b/>
          <w:color w:val="14756A"/>
          <w:sz w:val="20"/>
        </w:rPr>
        <w:t>9.1.3</w:t>
      </w:r>
    </w:p>
    <w:p w14:paraId="2C46A422" w14:textId="77777777" w:rsidR="00CD5946" w:rsidRDefault="00000000">
      <w:pPr>
        <w:spacing w:before="20" w:after="60"/>
        <w:jc w:val="both"/>
      </w:pPr>
      <w:r>
        <w:rPr>
          <w:rFonts w:ascii="Calibri" w:eastAsia="Calibri" w:hAnsi="Calibri"/>
          <w:b/>
          <w:color w:val="0E5A50"/>
          <w:sz w:val="20"/>
        </w:rPr>
        <w:t xml:space="preserve">9.1.4  </w:t>
      </w:r>
      <w:r>
        <w:rPr>
          <w:sz w:val="20"/>
        </w:rPr>
        <w:t>Self-inspection findings, the corrective and preventive actions taken, and the verification of their effectiveness shall be recorded and followed up through to closure.</w:t>
      </w:r>
    </w:p>
    <w:p w14:paraId="2D137DE0" w14:textId="77777777" w:rsidR="00CD5946" w:rsidRDefault="00000000">
      <w:pPr>
        <w:bidi/>
        <w:spacing w:before="20" w:after="60"/>
        <w:jc w:val="both"/>
      </w:pPr>
      <w:r>
        <w:rPr>
          <w:rFonts w:ascii="Arial" w:eastAsia="Arial" w:hAnsi="Arial"/>
          <w:sz w:val="20"/>
          <w:rtl/>
        </w:rPr>
        <w:t xml:space="preserve">تُسجَّل ملاحظات التفتيش الذاتي والإجراءات التصحيحية والوقائية المتّخذة والتحقّق من فاعليّتها، وتُتابَع حتى الإغلاق.  </w:t>
      </w:r>
      <w:r>
        <w:rPr>
          <w:rFonts w:ascii="Calibri" w:eastAsia="Calibri" w:hAnsi="Calibri"/>
          <w:b/>
          <w:color w:val="14756A"/>
          <w:sz w:val="20"/>
        </w:rPr>
        <w:t>9.1.4</w:t>
      </w:r>
    </w:p>
    <w:p w14:paraId="5FD0C5D4" w14:textId="77777777" w:rsidR="00CD5946" w:rsidRDefault="00000000">
      <w:pPr>
        <w:pStyle w:val="Heading1"/>
        <w:spacing w:before="0"/>
      </w:pPr>
      <w:bookmarkStart w:id="96" w:name="__RefHeading___Toc9349_1729075678"/>
      <w:bookmarkEnd w:id="96"/>
      <w:r>
        <w:t>Contents</w:t>
      </w:r>
    </w:p>
    <w:sdt>
      <w:sdtPr>
        <w:id w:val="-310017689"/>
        <w:docPartObj>
          <w:docPartGallery w:val="Table of Contents"/>
          <w:docPartUnique/>
        </w:docPartObj>
      </w:sdtPr>
      <w:sdtContent>
        <w:p w14:paraId="67422C7B"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70B15C0C"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5F2531BE"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30F229C1"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5538A1E3"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78A753F5"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464CDDAF"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0DE149D6"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16DA4041"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4DDFC937"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1D372763"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67EEC3B9"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4DD78A57"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60E3084A"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00C1F32D"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2B9AB53A"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69274E88"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23FCA24B"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2DEAE22D"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26F3A467"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6BF6C4E7"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74ECC8AD"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3ADB914E"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14622BF0"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153C5E6C"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47FF0C9B"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1E937911"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1A984417"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5E78E1B2"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5E776478"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255644A2"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7993CA0C"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35BB2E56"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68ED7C5F"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79C92E43"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3600B3CE"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53FEBC3A"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6E87E777"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6EC7BDBC"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7FC6B8B9"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05A992E9"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5575B84E"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202C6300"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61DEC898"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3AC26801"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4F1CC0B5"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1D19D17F"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0286C4A4"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07327058"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350C8C41"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3D6D717F"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2AA7E234"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059DA495"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0BBFAABE"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530600DB"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285BB67D"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6174A696"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5327A5C7"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330FA29A"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79DDC994"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4C8B3896"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1406BC38"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616F6F22"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0B074D70"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32326C3F"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536F8D52"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798D53DC"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3DD70D4B"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7E25BF26"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09230AE5"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2065B0DC"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783EAE34"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17ADE945"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05DAB098" w14:textId="77777777" w:rsidR="00CD5946" w:rsidRDefault="00000000">
      <w:r>
        <w:br w:type="page"/>
      </w:r>
    </w:p>
    <w:p w14:paraId="31B5775C" w14:textId="77777777" w:rsidR="00CD5946" w:rsidRDefault="00000000">
      <w:pPr>
        <w:pStyle w:val="Heading1"/>
        <w:spacing w:before="0"/>
      </w:pPr>
      <w:bookmarkStart w:id="97" w:name="__RefHeading___Toc9351_1729075678"/>
      <w:bookmarkEnd w:id="97"/>
      <w:r>
        <w:lastRenderedPageBreak/>
        <w:t>Part II — Basic Requirements for Active Substances used as Starting Materials</w:t>
      </w:r>
    </w:p>
    <w:p w14:paraId="19B0CA7C" w14:textId="77777777" w:rsidR="00CD5946" w:rsidRDefault="00000000">
      <w:pPr>
        <w:pBdr>
          <w:left w:val="single" w:sz="16" w:space="8" w:color="C8A24B"/>
        </w:pBdr>
        <w:spacing w:before="60" w:after="140"/>
        <w:ind w:left="160"/>
      </w:pPr>
      <w:r>
        <w:rPr>
          <w:rFonts w:ascii="Arial" w:eastAsia="Arial" w:hAnsi="Arial"/>
          <w:b/>
          <w:bCs/>
          <w:color w:val="B08C37"/>
        </w:rPr>
        <w:t xml:space="preserve">Principle.  </w:t>
      </w:r>
      <w:r>
        <w:rPr>
          <w:rFonts w:ascii="Arial" w:eastAsia="Arial" w:hAnsi="Arial"/>
          <w:color w:val="1A1A1A"/>
        </w:rPr>
        <w:t>Part II establishes Good Manufacturing Practice for the manufacture of active pharmaceutical ingredients (APIs / active substances) under an appropriate system for managing quality. It is intended to help ensure that active substances meet the requirements for quality and purity that they purport or are represented to possess. “Manufacturing” includes all operations of receipt of materials, production, packaging, repackaging, labelling, relabelling, quality control, release, storage and distribution of active substances and the related controls. This Part adopts the principles of ICH Q7.</w:t>
      </w:r>
    </w:p>
    <w:p w14:paraId="2E54A428" w14:textId="77777777" w:rsidR="00CD5946" w:rsidRDefault="00000000">
      <w:pPr>
        <w:bidi/>
        <w:spacing w:before="20" w:after="60"/>
        <w:jc w:val="both"/>
      </w:pPr>
      <w:r>
        <w:rPr>
          <w:rFonts w:ascii="Arial" w:eastAsia="Arial" w:hAnsi="Arial"/>
          <w:sz w:val="20"/>
          <w:rtl/>
        </w:rPr>
        <w:t xml:space="preserve">المبدأ: يُرسي هذا الجزء الممارسات التصنيعية الجيدة للمكوّنات الدوائية الفعّالة (المواد الفعّالة) المستخدَمة موادَّ بدءٍ في المنتجات الدوائية، موائماً للدليل </w:t>
      </w:r>
      <w:r>
        <w:rPr>
          <w:rFonts w:ascii="Arial" w:eastAsia="Arial" w:hAnsi="Arial"/>
          <w:sz w:val="20"/>
        </w:rPr>
        <w:t>ICH Q7</w:t>
      </w:r>
      <w:r>
        <w:rPr>
          <w:rFonts w:ascii="Arial" w:eastAsia="Arial" w:hAnsi="Arial"/>
          <w:sz w:val="20"/>
          <w:rtl/>
        </w:rPr>
        <w:t>، ومطبِّقاً منهجاً قائماً على دورة الحياة والمخاطر لتصنيع المواد الفعّالة سواءٌ أُنتجت بالتخليق الكيميائي أو الاستخلاص أو زراعة الخلايا أو التخمير أو الاسترداد من مصادر طبيعية أو بأيّ مزيج من ذلك. والهدف ضمان مطابقة المادة الفعّالة لمواصفاتها المقصودة من حيث الجودة والنقاء، مع تطبيق مستوى الضبط الملائم اعتباراً من مادة بدء المادة الفعّالة المحدَّدة فصاعداً.</w:t>
      </w:r>
    </w:p>
    <w:p w14:paraId="002A5359" w14:textId="77777777" w:rsidR="00CD5946" w:rsidRDefault="00000000">
      <w:pPr>
        <w:spacing w:before="20" w:after="140"/>
      </w:pPr>
      <w:r>
        <w:rPr>
          <w:rFonts w:ascii="Arial" w:eastAsia="Arial" w:hAnsi="Arial"/>
          <w:b/>
          <w:bCs/>
          <w:color w:val="B08C37"/>
          <w:sz w:val="17"/>
          <w:szCs w:val="17"/>
        </w:rPr>
        <w:t xml:space="preserve">Harmonised with: </w:t>
      </w:r>
      <w:r>
        <w:rPr>
          <w:rFonts w:ascii="Arial" w:eastAsia="Arial" w:hAnsi="Arial"/>
          <w:i/>
          <w:iCs/>
          <w:color w:val="5A5A5A"/>
          <w:sz w:val="17"/>
          <w:szCs w:val="17"/>
        </w:rPr>
        <w:t>ICH Q7 (= EU GMP Part II = PIC/S Part II) · SFDA GMP Guide v4.4 · WHO TRS 957 · US FDA 21 CFR 211 (as applicable to APIs)</w:t>
      </w:r>
    </w:p>
    <w:p w14:paraId="72CC3560" w14:textId="77777777" w:rsidR="00CD5946" w:rsidRDefault="00000000">
      <w:pPr>
        <w:pStyle w:val="Heading3"/>
        <w:keepNext/>
      </w:pPr>
      <w:bookmarkStart w:id="98" w:name="__RefHeading___Toc9353_1729075678"/>
      <w:bookmarkEnd w:id="98"/>
      <w:r>
        <w:t>Scope and the point at which GMP applies</w:t>
      </w:r>
    </w:p>
    <w:p w14:paraId="1F289EFC" w14:textId="77777777" w:rsidR="00CD5946" w:rsidRDefault="00000000">
      <w:pPr>
        <w:spacing w:after="110"/>
      </w:pPr>
      <w:r>
        <w:rPr>
          <w:rFonts w:ascii="Arial" w:eastAsia="Arial" w:hAnsi="Arial"/>
          <w:color w:val="1A1A1A"/>
        </w:rPr>
        <w:t>GMP for active substances applies from the introduction of the defined “API starting material” into the process; increasingly stringent GMP is applied through subsequent steps, with critical process steps (which impact the quality of the API) validated. For products such as those derived from cell culture/fermentation, or extracted from natural sources, the point of application is defined in the specific sections. The manufacturer shall designate and document the rationale for the point at which production of the API begins. As a guide (ICH Q7, Table 1): for chemical synthesis, GMP applies from the introduction of the API starting material into the process; for APIs from animal sources or plant extraction, from the initial processing/extraction steps as defined; for classical fermentation, from the introduction of the working cell bank into fermentation; and for biotechnology (cell culture/fermentation), from the maintenance of the working cell bank onward — with GMP stringency increasing through the final isolation and purification steps.</w:t>
      </w:r>
    </w:p>
    <w:p w14:paraId="7467FC31" w14:textId="77777777" w:rsidR="00CD5946" w:rsidRDefault="00000000">
      <w:pPr>
        <w:bidi/>
        <w:spacing w:before="20" w:after="60"/>
        <w:jc w:val="both"/>
      </w:pPr>
      <w:r>
        <w:rPr>
          <w:rFonts w:ascii="Arial" w:eastAsia="Arial" w:hAnsi="Arial"/>
          <w:sz w:val="20"/>
          <w:rtl/>
        </w:rPr>
        <w:t>النطاق ونقطة انطباق الممارسات الجيدة: تنطبق الممارسات التصنيعية الجيدة للمواد الفعّالة اعتباراً من إدخال «مادة بدء المادة الفعّالة» المحدَّدة في العملية، ويزداد صرامةً تطبيقها عبر الخطوات اللاحقة المؤثّرة في جودة المادة الفعّالة. ويُحدِّد الصانع ويوثِّق مسوّغ النقطة التي يبدأ عندها إنتاج المادة الفعّالة، وتُبيَّن نقاط الانطباق الخاصة للمنتجات المُصنَّعة بزراعة الخلايا/التخمير أو المستخلَصة من مصادر طبيعية.</w:t>
      </w:r>
    </w:p>
    <w:p w14:paraId="5442CB0D" w14:textId="77777777" w:rsidR="00CD5946" w:rsidRDefault="00000000">
      <w:pPr>
        <w:pStyle w:val="Heading2"/>
      </w:pPr>
      <w:bookmarkStart w:id="99" w:name="__RefHeading___Toc9355_1729075678"/>
      <w:bookmarkEnd w:id="99"/>
      <w:r>
        <w:t>II.1  Quality management</w:t>
      </w:r>
    </w:p>
    <w:p w14:paraId="21749741" w14:textId="77777777" w:rsidR="00CD5946" w:rsidRDefault="00000000">
      <w:pPr>
        <w:spacing w:before="20" w:after="60"/>
        <w:jc w:val="both"/>
      </w:pPr>
      <w:r>
        <w:rPr>
          <w:rFonts w:ascii="Calibri" w:eastAsia="Calibri" w:hAnsi="Calibri"/>
          <w:b/>
          <w:color w:val="0E5A50"/>
          <w:sz w:val="20"/>
        </w:rPr>
        <w:t xml:space="preserve">II.1.1  </w:t>
      </w:r>
      <w:r>
        <w:rPr>
          <w:sz w:val="20"/>
        </w:rPr>
        <w:t>Quality shall be the responsibility of all persons involved in manufacturing. The manufacturer shall establish, document and implement an effective system for managing quality that involves the active participation of management and appropriate manufacturing personnel.</w:t>
      </w:r>
    </w:p>
    <w:p w14:paraId="10DB50D0" w14:textId="77777777" w:rsidR="00CD5946" w:rsidRDefault="00000000">
      <w:pPr>
        <w:bidi/>
        <w:spacing w:before="20" w:after="60"/>
        <w:jc w:val="both"/>
      </w:pPr>
      <w:r>
        <w:rPr>
          <w:rFonts w:ascii="Arial" w:eastAsia="Arial" w:hAnsi="Arial"/>
          <w:sz w:val="20"/>
          <w:rtl/>
        </w:rPr>
        <w:t xml:space="preserve">الجودة مسؤولية جميع العاملين في التصنيع. وعلى الصانع إنشاء وتوثيق وتطبيق نظام فعّال لإدارة الجودة يشارك فيه الإدارة والعاملون المعنيّون مشاركةً فعّالة.  </w:t>
      </w:r>
      <w:r>
        <w:rPr>
          <w:rFonts w:ascii="Calibri" w:eastAsia="Calibri" w:hAnsi="Calibri"/>
          <w:b/>
          <w:color w:val="14756A"/>
          <w:sz w:val="20"/>
        </w:rPr>
        <w:t>II.1.1</w:t>
      </w:r>
    </w:p>
    <w:p w14:paraId="48B7F7E1" w14:textId="77777777" w:rsidR="00CD5946" w:rsidRDefault="00000000">
      <w:pPr>
        <w:spacing w:before="20" w:after="60"/>
        <w:jc w:val="both"/>
      </w:pPr>
      <w:r>
        <w:rPr>
          <w:rFonts w:ascii="Calibri" w:eastAsia="Calibri" w:hAnsi="Calibri"/>
          <w:b/>
          <w:color w:val="0E5A50"/>
          <w:sz w:val="20"/>
        </w:rPr>
        <w:t xml:space="preserve">II.1.2  </w:t>
      </w:r>
      <w:r>
        <w:rPr>
          <w:sz w:val="20"/>
        </w:rPr>
        <w:t>There shall be an independent quality unit (which may be a single quality unit or separate Quality Assurance and Quality Control functions) with the authority to release or reject all APIs, intermediates, raw materials and packaging materials, and to review completed batch production and laboratory control records of critical process steps before release.</w:t>
      </w:r>
    </w:p>
    <w:p w14:paraId="54AD550B" w14:textId="77777777" w:rsidR="00CD5946" w:rsidRDefault="00000000">
      <w:pPr>
        <w:bidi/>
        <w:spacing w:before="20" w:after="60"/>
        <w:jc w:val="both"/>
      </w:pPr>
      <w:r>
        <w:rPr>
          <w:rFonts w:ascii="Arial" w:eastAsia="Arial" w:hAnsi="Arial"/>
          <w:sz w:val="20"/>
          <w:rtl/>
        </w:rPr>
        <w:t xml:space="preserve">يجب وجود وحدة جودة مستقلّة (قد تكون وحدة واحدة أو وظيفتَي توكيد ومراقبة منفصلتين) لها صلاحية الإفراج عن جميع المواد الفعّالة والوسائط والمواد الخام ومواد التعبئة أو رفضها، ومراجعة سجلّات إنتاج التشغيلة وسجلّات الضبط المخبري للخطوات الحرجة قبل الإفراج.  </w:t>
      </w:r>
      <w:r>
        <w:rPr>
          <w:rFonts w:ascii="Calibri" w:eastAsia="Calibri" w:hAnsi="Calibri"/>
          <w:b/>
          <w:color w:val="14756A"/>
          <w:sz w:val="20"/>
        </w:rPr>
        <w:t>II.1.2</w:t>
      </w:r>
    </w:p>
    <w:p w14:paraId="18A46CD4" w14:textId="77777777" w:rsidR="00CD5946" w:rsidRDefault="00000000">
      <w:pPr>
        <w:spacing w:before="20" w:after="60"/>
        <w:jc w:val="both"/>
      </w:pPr>
      <w:r>
        <w:rPr>
          <w:rFonts w:ascii="Calibri" w:eastAsia="Calibri" w:hAnsi="Calibri"/>
          <w:b/>
          <w:color w:val="0E5A50"/>
          <w:sz w:val="20"/>
        </w:rPr>
        <w:t xml:space="preserve">II.1.3  </w:t>
      </w:r>
      <w:r>
        <w:rPr>
          <w:sz w:val="20"/>
        </w:rPr>
        <w:t>The main responsibilities of the quality unit shall not be delegated. Quality-unit responsibilities include, but are not limited to, approving or rejecting suppliers, specifications, procedures, master and batch records, validation protocols and reports, and changes.</w:t>
      </w:r>
    </w:p>
    <w:p w14:paraId="76EFAEB8" w14:textId="77777777" w:rsidR="00CD5946" w:rsidRDefault="00000000">
      <w:pPr>
        <w:bidi/>
        <w:spacing w:before="20" w:after="60"/>
        <w:jc w:val="both"/>
      </w:pPr>
      <w:r>
        <w:rPr>
          <w:rFonts w:ascii="Arial" w:eastAsia="Arial" w:hAnsi="Arial"/>
          <w:sz w:val="20"/>
          <w:rtl/>
        </w:rPr>
        <w:t xml:space="preserve">لا يجوز تفويض المسؤوليات الرئيسة لوحدة الجودة. وتشمل هذه المسؤوليات — دون حصر — اعتماد أو رفض المورِّدين والمواصفات والإجراءات والسجلّات الأمّ وسجلّات التشغيلات وبروتوكولات وتقارير التحقّق والتغييرات.  </w:t>
      </w:r>
      <w:r>
        <w:rPr>
          <w:rFonts w:ascii="Calibri" w:eastAsia="Calibri" w:hAnsi="Calibri"/>
          <w:b/>
          <w:color w:val="14756A"/>
          <w:sz w:val="20"/>
        </w:rPr>
        <w:t>II.1.3</w:t>
      </w:r>
    </w:p>
    <w:p w14:paraId="640EC167" w14:textId="77777777" w:rsidR="00CD5946" w:rsidRDefault="00000000">
      <w:pPr>
        <w:spacing w:before="20" w:after="60"/>
        <w:jc w:val="both"/>
      </w:pPr>
      <w:r>
        <w:rPr>
          <w:rFonts w:ascii="Calibri" w:eastAsia="Calibri" w:hAnsi="Calibri"/>
          <w:b/>
          <w:color w:val="0E5A50"/>
          <w:sz w:val="20"/>
        </w:rPr>
        <w:lastRenderedPageBreak/>
        <w:t xml:space="preserve">II.1.4  </w:t>
      </w:r>
      <w:r>
        <w:rPr>
          <w:sz w:val="20"/>
        </w:rPr>
        <w:t>An internal audit (self-inspection) programme shall be performed in accordance with an approved schedule to verify compliance with the principles of GMP for APIs, and findings and corrective actions shall be documented and brought to the attention of responsible management.</w:t>
      </w:r>
    </w:p>
    <w:p w14:paraId="251E704D" w14:textId="77777777" w:rsidR="00CD5946" w:rsidRDefault="00000000">
      <w:pPr>
        <w:bidi/>
        <w:spacing w:before="20" w:after="60"/>
        <w:jc w:val="both"/>
      </w:pPr>
      <w:r>
        <w:rPr>
          <w:rFonts w:ascii="Arial" w:eastAsia="Arial" w:hAnsi="Arial"/>
          <w:sz w:val="20"/>
          <w:rtl/>
        </w:rPr>
        <w:t xml:space="preserve">يُنفَّذ برنامج تدقيق داخلي (تفتيش ذاتي) وفق جدول معتمد للتحقّق من الالتزام بمبادئ الممارسات الجيدة للمواد الفعّالة، وتُوثَّق الملاحظات والإجراءات التصحيحية وتُرفَع إلى الإدارة المسؤولة.  </w:t>
      </w:r>
      <w:r>
        <w:rPr>
          <w:rFonts w:ascii="Calibri" w:eastAsia="Calibri" w:hAnsi="Calibri"/>
          <w:b/>
          <w:color w:val="14756A"/>
          <w:sz w:val="20"/>
        </w:rPr>
        <w:t>II.1.4</w:t>
      </w:r>
    </w:p>
    <w:p w14:paraId="1BC6F252" w14:textId="77777777" w:rsidR="00CD5946" w:rsidRDefault="00000000">
      <w:pPr>
        <w:spacing w:before="20" w:after="60"/>
        <w:jc w:val="both"/>
      </w:pPr>
      <w:r>
        <w:rPr>
          <w:rFonts w:ascii="Calibri" w:eastAsia="Calibri" w:hAnsi="Calibri"/>
          <w:b/>
          <w:color w:val="0E5A50"/>
          <w:sz w:val="20"/>
        </w:rPr>
        <w:t xml:space="preserve">II.1.5  </w:t>
      </w:r>
      <w:r>
        <w:rPr>
          <w:sz w:val="20"/>
        </w:rPr>
        <w:t>Quality risk management shall be applied to evaluate, control, communicate and review risks to API quality, with the level of effort, formality and documentation commensurate with the level of risk (ICH Q9).</w:t>
      </w:r>
    </w:p>
    <w:p w14:paraId="3A4AFE0B" w14:textId="77777777" w:rsidR="00CD5946" w:rsidRDefault="00000000">
      <w:pPr>
        <w:bidi/>
        <w:spacing w:before="20" w:after="60"/>
        <w:jc w:val="both"/>
      </w:pPr>
      <w:r>
        <w:rPr>
          <w:rFonts w:ascii="Arial" w:eastAsia="Arial" w:hAnsi="Arial"/>
          <w:sz w:val="20"/>
          <w:rtl/>
        </w:rPr>
        <w:t>تُطبَّق إدارة مخاطر الجودة لتقييم مخاطر جودة المادة الفعّالة وضبطها وإبلاغها ومراجعتها، بحيث يتناسب مستوى الجهد والرسمية والتوثيق مع مستوى المخاطر (</w:t>
      </w:r>
      <w:r>
        <w:rPr>
          <w:rFonts w:ascii="Arial" w:eastAsia="Arial" w:hAnsi="Arial"/>
          <w:sz w:val="20"/>
        </w:rPr>
        <w:t>ICH Q9</w:t>
      </w:r>
      <w:r>
        <w:rPr>
          <w:rFonts w:ascii="Arial" w:eastAsia="Arial" w:hAnsi="Arial"/>
          <w:sz w:val="20"/>
          <w:rtl/>
        </w:rPr>
        <w:t xml:space="preserve">).  </w:t>
      </w:r>
      <w:r>
        <w:rPr>
          <w:rFonts w:ascii="Calibri" w:eastAsia="Calibri" w:hAnsi="Calibri"/>
          <w:b/>
          <w:color w:val="14756A"/>
          <w:sz w:val="20"/>
        </w:rPr>
        <w:t>II.1.5</w:t>
      </w:r>
    </w:p>
    <w:p w14:paraId="6A00C60F" w14:textId="77777777" w:rsidR="00CD5946" w:rsidRDefault="00000000">
      <w:pPr>
        <w:spacing w:before="20" w:after="60"/>
        <w:jc w:val="both"/>
      </w:pPr>
      <w:r>
        <w:rPr>
          <w:rFonts w:ascii="Calibri" w:eastAsia="Calibri" w:hAnsi="Calibri"/>
          <w:b/>
          <w:color w:val="0E5A50"/>
          <w:sz w:val="20"/>
        </w:rPr>
        <w:t xml:space="preserve">II.1.6  </w:t>
      </w:r>
      <w:r>
        <w:rPr>
          <w:sz w:val="20"/>
        </w:rPr>
        <w:t>Product quality reviews shall be conducted at regular intervals to verify the consistency of the process; they shall include a review of critical in-process and API results, out-of-specification batches, deviations, changes, stability results and returns, complaints and recalls.</w:t>
      </w:r>
    </w:p>
    <w:p w14:paraId="3ABB1407" w14:textId="77777777" w:rsidR="00CD5946" w:rsidRDefault="00000000">
      <w:pPr>
        <w:bidi/>
        <w:spacing w:before="20" w:after="60"/>
        <w:jc w:val="both"/>
      </w:pPr>
      <w:r>
        <w:rPr>
          <w:rFonts w:ascii="Arial" w:eastAsia="Arial" w:hAnsi="Arial"/>
          <w:sz w:val="20"/>
          <w:rtl/>
        </w:rPr>
        <w:t xml:space="preserve">تُجرى مراجعات دورية لجودة المنتج للتحقّق من ثبات العملية، وتشمل نتائج الضبط أثناء التشغيل والنتائج الحرجة للمادة الفعّالة، والتشغيلات المخالفة للمواصفات، والانحرافات والتغييرات ونتائج الثبات والمرتجَعات والشكاوى والاستدعاءات.  </w:t>
      </w:r>
      <w:r>
        <w:rPr>
          <w:rFonts w:ascii="Calibri" w:eastAsia="Calibri" w:hAnsi="Calibri"/>
          <w:b/>
          <w:color w:val="14756A"/>
          <w:sz w:val="20"/>
        </w:rPr>
        <w:t>II.1.6</w:t>
      </w:r>
    </w:p>
    <w:p w14:paraId="35FC1D92" w14:textId="77777777" w:rsidR="00CD5946" w:rsidRDefault="00000000">
      <w:pPr>
        <w:pStyle w:val="Heading2"/>
      </w:pPr>
      <w:bookmarkStart w:id="100" w:name="__RefHeading___Toc9357_1729075678"/>
      <w:bookmarkEnd w:id="100"/>
      <w:r>
        <w:t>II.2  Personnel</w:t>
      </w:r>
    </w:p>
    <w:p w14:paraId="24073964" w14:textId="77777777" w:rsidR="00CD5946" w:rsidRDefault="00000000">
      <w:pPr>
        <w:spacing w:before="20" w:after="60"/>
        <w:jc w:val="both"/>
      </w:pPr>
      <w:r>
        <w:rPr>
          <w:rFonts w:ascii="Calibri" w:eastAsia="Calibri" w:hAnsi="Calibri"/>
          <w:b/>
          <w:color w:val="0E5A50"/>
          <w:sz w:val="20"/>
        </w:rPr>
        <w:t xml:space="preserve">II.2.1  </w:t>
      </w:r>
      <w:r>
        <w:rPr>
          <w:sz w:val="20"/>
        </w:rPr>
        <w:t>There shall be an adequate number of personnel qualified by appropriate education, training and/or experience to perform and supervise the manufacture of APIs; responsibilities shall be specified in writing.</w:t>
      </w:r>
    </w:p>
    <w:p w14:paraId="44317284" w14:textId="77777777" w:rsidR="00CD5946" w:rsidRDefault="00000000">
      <w:pPr>
        <w:bidi/>
        <w:spacing w:before="20" w:after="60"/>
        <w:jc w:val="both"/>
      </w:pPr>
      <w:r>
        <w:rPr>
          <w:rFonts w:ascii="Arial" w:eastAsia="Arial" w:hAnsi="Arial"/>
          <w:sz w:val="20"/>
          <w:rtl/>
        </w:rPr>
        <w:t xml:space="preserve">يجب توفّر عدد كافٍ من العاملين المؤهَّلين بالتعليم والتدريب و/أو الخبرة المناسبة لأداء تصنيع المواد الفعّالة والإشراف عليه، مع تحديد المسؤوليات كتابةً.  </w:t>
      </w:r>
      <w:r>
        <w:rPr>
          <w:rFonts w:ascii="Calibri" w:eastAsia="Calibri" w:hAnsi="Calibri"/>
          <w:b/>
          <w:color w:val="14756A"/>
          <w:sz w:val="20"/>
        </w:rPr>
        <w:t>II.2.1</w:t>
      </w:r>
    </w:p>
    <w:p w14:paraId="38030CD8" w14:textId="77777777" w:rsidR="00CD5946" w:rsidRDefault="00000000">
      <w:pPr>
        <w:spacing w:before="20" w:after="60"/>
        <w:jc w:val="both"/>
      </w:pPr>
      <w:r>
        <w:rPr>
          <w:rFonts w:ascii="Calibri" w:eastAsia="Calibri" w:hAnsi="Calibri"/>
          <w:b/>
          <w:color w:val="0E5A50"/>
          <w:sz w:val="20"/>
        </w:rPr>
        <w:t xml:space="preserve">II.2.2  </w:t>
      </w:r>
      <w:r>
        <w:rPr>
          <w:sz w:val="20"/>
        </w:rPr>
        <w:t>Personnel shall receive regular training, conducted by qualified individuals, in the particular operations they perform and in GMP as it relates to their functions; records of training shall be maintained and effectiveness periodically assessed.</w:t>
      </w:r>
    </w:p>
    <w:p w14:paraId="68107A9B" w14:textId="77777777" w:rsidR="00CD5946" w:rsidRDefault="00000000">
      <w:pPr>
        <w:bidi/>
        <w:spacing w:before="20" w:after="60"/>
        <w:jc w:val="both"/>
      </w:pPr>
      <w:r>
        <w:rPr>
          <w:rFonts w:ascii="Arial" w:eastAsia="Arial" w:hAnsi="Arial"/>
          <w:sz w:val="20"/>
          <w:rtl/>
        </w:rPr>
        <w:t xml:space="preserve">يتلقّى العاملون تدريباً منتظماً على يد مؤهَّلين في العمليات التي يؤدّونها وفي الممارسات الجيدة المتعلّقة بمهامّهم، وتُحفَظ سجلّات التدريب وتُقيَّم فاعليّته دورياً.  </w:t>
      </w:r>
      <w:r>
        <w:rPr>
          <w:rFonts w:ascii="Calibri" w:eastAsia="Calibri" w:hAnsi="Calibri"/>
          <w:b/>
          <w:color w:val="14756A"/>
          <w:sz w:val="20"/>
        </w:rPr>
        <w:t>II.2.2</w:t>
      </w:r>
    </w:p>
    <w:p w14:paraId="5B3C78BA" w14:textId="77777777" w:rsidR="00CD5946" w:rsidRDefault="00000000">
      <w:pPr>
        <w:spacing w:before="20" w:after="60"/>
        <w:jc w:val="both"/>
      </w:pPr>
      <w:r>
        <w:rPr>
          <w:rFonts w:ascii="Calibri" w:eastAsia="Calibri" w:hAnsi="Calibri"/>
          <w:b/>
          <w:color w:val="0E5A50"/>
          <w:sz w:val="20"/>
        </w:rPr>
        <w:t xml:space="preserve">II.2.3  </w:t>
      </w:r>
      <w:r>
        <w:rPr>
          <w:sz w:val="20"/>
        </w:rPr>
        <w:t>Personnel shall practise good sanitation and health habits; wear clean clothing suitable for the operation; and avoid direct contact with intermediates and APIs. Personnel suffering from an infectious disease or with open lesions shall be excluded from activities that could compromise API quality.</w:t>
      </w:r>
    </w:p>
    <w:p w14:paraId="39F07168" w14:textId="77777777" w:rsidR="00CD5946" w:rsidRDefault="00000000">
      <w:pPr>
        <w:bidi/>
        <w:spacing w:before="20" w:after="60"/>
        <w:jc w:val="both"/>
      </w:pPr>
      <w:r>
        <w:rPr>
          <w:rFonts w:ascii="Arial" w:eastAsia="Arial" w:hAnsi="Arial"/>
          <w:sz w:val="20"/>
          <w:rtl/>
        </w:rPr>
        <w:t xml:space="preserve">يلتزم العاملون بالنظافة الصحّية الجيدة، ويرتدون ملابس نظيفة ملائمة للعملية، ويتجنّبون الملامسة المباشرة للوسائط والمواد الفعّالة. ويُستبعَد المصابون بمرضٍ مُعدٍ أو بجروح مكشوفة من الأنشطة التي قد تُخِلّ بالجودة.  </w:t>
      </w:r>
      <w:r>
        <w:rPr>
          <w:rFonts w:ascii="Calibri" w:eastAsia="Calibri" w:hAnsi="Calibri"/>
          <w:b/>
          <w:color w:val="14756A"/>
          <w:sz w:val="20"/>
        </w:rPr>
        <w:t>II.2.3</w:t>
      </w:r>
    </w:p>
    <w:p w14:paraId="583B6398" w14:textId="77777777" w:rsidR="00CD5946" w:rsidRDefault="00000000">
      <w:pPr>
        <w:spacing w:before="20" w:after="60"/>
        <w:jc w:val="both"/>
      </w:pPr>
      <w:r>
        <w:rPr>
          <w:rFonts w:ascii="Calibri" w:eastAsia="Calibri" w:hAnsi="Calibri"/>
          <w:b/>
          <w:color w:val="0E5A50"/>
          <w:sz w:val="20"/>
        </w:rPr>
        <w:t xml:space="preserve">II.2.4  </w:t>
      </w:r>
      <w:r>
        <w:rPr>
          <w:sz w:val="20"/>
        </w:rPr>
        <w:t>Consultants advising on the manufacture and control of APIs shall have sufficient education, training and experience; records shall identify the name, address, qualifications and type of service provided.</w:t>
      </w:r>
    </w:p>
    <w:p w14:paraId="79689CA0" w14:textId="77777777" w:rsidR="00CD5946" w:rsidRDefault="00000000">
      <w:pPr>
        <w:bidi/>
        <w:spacing w:before="20" w:after="60"/>
        <w:jc w:val="both"/>
      </w:pPr>
      <w:r>
        <w:rPr>
          <w:rFonts w:ascii="Arial" w:eastAsia="Arial" w:hAnsi="Arial"/>
          <w:sz w:val="20"/>
          <w:rtl/>
        </w:rPr>
        <w:t xml:space="preserve">يجب أن يتمتّع الاستشاريون في تصنيع المواد الفعّالة وضبطها بالتعليم والتدريب والخبرة الكافية، وتُبيِّن السجلّات الاسم والعنوان والمؤهّلات ونوع الخدمة المقدَّمة.  </w:t>
      </w:r>
      <w:r>
        <w:rPr>
          <w:rFonts w:ascii="Calibri" w:eastAsia="Calibri" w:hAnsi="Calibri"/>
          <w:b/>
          <w:color w:val="14756A"/>
          <w:sz w:val="20"/>
        </w:rPr>
        <w:t>II.2.4</w:t>
      </w:r>
    </w:p>
    <w:p w14:paraId="3D4DA13C" w14:textId="77777777" w:rsidR="00CD5946" w:rsidRDefault="00000000">
      <w:pPr>
        <w:pStyle w:val="Heading2"/>
      </w:pPr>
      <w:bookmarkStart w:id="101" w:name="__RefHeading___Toc9359_1729075678"/>
      <w:bookmarkEnd w:id="101"/>
      <w:r>
        <w:t>II.3  Buildings and facilities</w:t>
      </w:r>
    </w:p>
    <w:p w14:paraId="662F3F0E" w14:textId="77777777" w:rsidR="00CD5946" w:rsidRDefault="00000000">
      <w:pPr>
        <w:spacing w:before="20" w:after="60"/>
        <w:jc w:val="both"/>
      </w:pPr>
      <w:r>
        <w:rPr>
          <w:rFonts w:ascii="Calibri" w:eastAsia="Calibri" w:hAnsi="Calibri"/>
          <w:b/>
          <w:color w:val="0E5A50"/>
          <w:sz w:val="20"/>
        </w:rPr>
        <w:t xml:space="preserve">II.3.1  </w:t>
      </w:r>
      <w:r>
        <w:rPr>
          <w:sz w:val="20"/>
        </w:rPr>
        <w:t>Buildings and facilities used in the manufacture of intermediates and APIs shall be located, designed and constructed to facilitate cleaning, maintenance and operations appropriate to the type and stage of manufacture, and to minimise potential contamination.</w:t>
      </w:r>
    </w:p>
    <w:p w14:paraId="3D92E822" w14:textId="77777777" w:rsidR="00CD5946" w:rsidRDefault="00000000">
      <w:pPr>
        <w:bidi/>
        <w:spacing w:before="20" w:after="60"/>
        <w:jc w:val="both"/>
      </w:pPr>
      <w:r>
        <w:rPr>
          <w:rFonts w:ascii="Arial" w:eastAsia="Arial" w:hAnsi="Arial"/>
          <w:sz w:val="20"/>
          <w:rtl/>
        </w:rPr>
        <w:t xml:space="preserve">تُوقَع المباني والمرافق وتُصمَّم وتُشيَّد بما يُيسِّر التنظيف والصيانة والتشغيل بحسب نوع ومرحلة التصنيع، ويُقلِّل احتمال التلوّث إلى أدنى حدّ.  </w:t>
      </w:r>
      <w:r>
        <w:rPr>
          <w:rFonts w:ascii="Calibri" w:eastAsia="Calibri" w:hAnsi="Calibri"/>
          <w:b/>
          <w:color w:val="14756A"/>
          <w:sz w:val="20"/>
        </w:rPr>
        <w:t>II.3.1</w:t>
      </w:r>
    </w:p>
    <w:p w14:paraId="47E03758" w14:textId="77777777" w:rsidR="00CD5946" w:rsidRDefault="00000000">
      <w:pPr>
        <w:spacing w:before="20" w:after="60"/>
        <w:jc w:val="both"/>
      </w:pPr>
      <w:r>
        <w:rPr>
          <w:rFonts w:ascii="Calibri" w:eastAsia="Calibri" w:hAnsi="Calibri"/>
          <w:b/>
          <w:color w:val="0E5A50"/>
          <w:sz w:val="20"/>
        </w:rPr>
        <w:t xml:space="preserve">II.3.2  </w:t>
      </w:r>
      <w:r>
        <w:rPr>
          <w:sz w:val="20"/>
        </w:rPr>
        <w:t>Defined areas or control systems (such as closed or contained systems) shall be provided where necessary to prevent contamination or mix-ups during the course of receiving, storage, production, packaging and laboratory operations.</w:t>
      </w:r>
    </w:p>
    <w:p w14:paraId="7FB80062" w14:textId="77777777" w:rsidR="00CD5946" w:rsidRDefault="00000000">
      <w:pPr>
        <w:bidi/>
        <w:spacing w:before="20" w:after="60"/>
        <w:jc w:val="both"/>
      </w:pPr>
      <w:r>
        <w:rPr>
          <w:rFonts w:ascii="Arial" w:eastAsia="Arial" w:hAnsi="Arial"/>
          <w:sz w:val="20"/>
          <w:rtl/>
        </w:rPr>
        <w:lastRenderedPageBreak/>
        <w:t xml:space="preserve">تُخصَّص مناطق محدَّدة أو نظم ضبط (كالأنظمة المغلقة أو المحتواة) عند اللزوم لمنع التلوّث أو الاختلاط أثناء الاستلام والتخزين والإنتاج والتعبئة وعمليات المختبر.  </w:t>
      </w:r>
      <w:r>
        <w:rPr>
          <w:rFonts w:ascii="Calibri" w:eastAsia="Calibri" w:hAnsi="Calibri"/>
          <w:b/>
          <w:color w:val="14756A"/>
          <w:sz w:val="20"/>
        </w:rPr>
        <w:t>II.3.2</w:t>
      </w:r>
    </w:p>
    <w:p w14:paraId="50F3B280" w14:textId="77777777" w:rsidR="00CD5946" w:rsidRDefault="00000000">
      <w:pPr>
        <w:spacing w:before="20" w:after="60"/>
        <w:jc w:val="both"/>
      </w:pPr>
      <w:r>
        <w:rPr>
          <w:rFonts w:ascii="Calibri" w:eastAsia="Calibri" w:hAnsi="Calibri"/>
          <w:b/>
          <w:color w:val="0E5A50"/>
          <w:sz w:val="20"/>
        </w:rPr>
        <w:t xml:space="preserve">II.3.3  </w:t>
      </w:r>
      <w:r>
        <w:rPr>
          <w:sz w:val="20"/>
        </w:rPr>
        <w:t>Adequate and clean utilities (water, air handling/HVAC, steam, gases) shall be provided; water used in API manufacture shall be demonstrated to be suitable for its intended use, and at minimum meet WHO/pharmacopoeial guidelines for drinking (potable) water unless otherwise justified. Water used in the final isolation and purification of APIs intended for sterile products shall additionally be monitored and controlled for total microbial counts, objectionable organisms and endotoxins (ICH Q7, §4.34).</w:t>
      </w:r>
    </w:p>
    <w:p w14:paraId="3013BEEE" w14:textId="77777777" w:rsidR="00CD5946" w:rsidRDefault="00000000">
      <w:pPr>
        <w:bidi/>
        <w:spacing w:before="20" w:after="60"/>
        <w:jc w:val="both"/>
      </w:pPr>
      <w:r>
        <w:rPr>
          <w:rFonts w:ascii="Arial" w:eastAsia="Arial" w:hAnsi="Arial"/>
          <w:sz w:val="20"/>
          <w:rtl/>
        </w:rPr>
        <w:t xml:space="preserve">تُوفَّر مرافق كافية ونظيفة (ماء، معالجة هواء/تكييف، بخار، غازات)، ويُثبَت أنّ الماء المستخدَم في التصنيع ملائم لغرضه، ويستوفي كحدٍّ أدنى متطلّبات ماء الشرب وفق منظمة الصحة العالمية/دستور الأدوية ما لم يُبرَّر خلاف ذلك. ويُراقَب الماء المستخدَم في العزل والتنقية النهائيين للمواد الفعّالة الموجّهة لمنتجات معقّمة إضافياً للعدّ الميكروبي الكلي والكائنات المرفوضة والذيفان الداخلي.  </w:t>
      </w:r>
      <w:r>
        <w:rPr>
          <w:rFonts w:ascii="Calibri" w:eastAsia="Calibri" w:hAnsi="Calibri"/>
          <w:b/>
          <w:color w:val="14756A"/>
          <w:sz w:val="20"/>
        </w:rPr>
        <w:t>II.3.3</w:t>
      </w:r>
    </w:p>
    <w:p w14:paraId="00906F8E" w14:textId="77777777" w:rsidR="00CD5946" w:rsidRDefault="00000000">
      <w:pPr>
        <w:spacing w:before="20" w:after="60"/>
        <w:jc w:val="both"/>
      </w:pPr>
      <w:r>
        <w:rPr>
          <w:rFonts w:ascii="Calibri" w:eastAsia="Calibri" w:hAnsi="Calibri"/>
          <w:b/>
          <w:color w:val="0E5A50"/>
          <w:sz w:val="20"/>
        </w:rPr>
        <w:t xml:space="preserve">II.3.4  </w:t>
      </w:r>
      <w:r>
        <w:rPr>
          <w:sz w:val="20"/>
        </w:rPr>
        <w:t>Lighting, ventilation, environmental control, sanitation and pest control shall be adequate; where environmental conditions could adversely affect product quality, they shall be monitored and controlled.</w:t>
      </w:r>
    </w:p>
    <w:p w14:paraId="40144BD0" w14:textId="77777777" w:rsidR="00CD5946" w:rsidRDefault="00000000">
      <w:pPr>
        <w:bidi/>
        <w:spacing w:before="20" w:after="60"/>
        <w:jc w:val="both"/>
      </w:pPr>
      <w:r>
        <w:rPr>
          <w:rFonts w:ascii="Arial" w:eastAsia="Arial" w:hAnsi="Arial"/>
          <w:sz w:val="20"/>
          <w:rtl/>
        </w:rPr>
        <w:t xml:space="preserve">تكون الإضاءة والتهوية وضبط البيئة والإصحاح ومكافحة الآفات كافية، وتُراقَب الظروف البيئية وتُضبَط متى أمكن أن تؤثّر سلباً في الجودة.  </w:t>
      </w:r>
      <w:r>
        <w:rPr>
          <w:rFonts w:ascii="Calibri" w:eastAsia="Calibri" w:hAnsi="Calibri"/>
          <w:b/>
          <w:color w:val="14756A"/>
          <w:sz w:val="20"/>
        </w:rPr>
        <w:t>II.3.4</w:t>
      </w:r>
    </w:p>
    <w:p w14:paraId="65AD515D" w14:textId="77777777" w:rsidR="00CD5946" w:rsidRDefault="00000000">
      <w:pPr>
        <w:pStyle w:val="Heading2"/>
      </w:pPr>
      <w:bookmarkStart w:id="102" w:name="__RefHeading___Toc9361_1729075678"/>
      <w:bookmarkEnd w:id="102"/>
      <w:r>
        <w:t>II.4  Process equipment</w:t>
      </w:r>
    </w:p>
    <w:p w14:paraId="45174A2E" w14:textId="77777777" w:rsidR="00CD5946" w:rsidRDefault="00000000">
      <w:pPr>
        <w:spacing w:before="20" w:after="60"/>
        <w:jc w:val="both"/>
      </w:pPr>
      <w:r>
        <w:rPr>
          <w:rFonts w:ascii="Calibri" w:eastAsia="Calibri" w:hAnsi="Calibri"/>
          <w:b/>
          <w:color w:val="0E5A50"/>
          <w:sz w:val="20"/>
        </w:rPr>
        <w:t xml:space="preserve">II.4.1  </w:t>
      </w:r>
      <w:r>
        <w:rPr>
          <w:sz w:val="20"/>
        </w:rPr>
        <w:t>Equipment used in the manufacture of intermediates and APIs shall be of appropriate design and adequate size, and suitably located for its intended use, cleaning, sanitisation and maintenance.</w:t>
      </w:r>
    </w:p>
    <w:p w14:paraId="2985A80B" w14:textId="77777777" w:rsidR="00CD5946" w:rsidRDefault="00000000">
      <w:pPr>
        <w:bidi/>
        <w:spacing w:before="20" w:after="60"/>
        <w:jc w:val="both"/>
      </w:pPr>
      <w:r>
        <w:rPr>
          <w:rFonts w:ascii="Arial" w:eastAsia="Arial" w:hAnsi="Arial"/>
          <w:sz w:val="20"/>
          <w:rtl/>
        </w:rPr>
        <w:t xml:space="preserve">تكون المعدّات المستخدَمة في تصنيع الوسائط والمواد الفعّالة ملائمة التصميم وكافية الحجم ومناسبة الموقع لغرضها وتنظيفها وتطهيرها وصيانتها.  </w:t>
      </w:r>
      <w:r>
        <w:rPr>
          <w:rFonts w:ascii="Calibri" w:eastAsia="Calibri" w:hAnsi="Calibri"/>
          <w:b/>
          <w:color w:val="14756A"/>
          <w:sz w:val="20"/>
        </w:rPr>
        <w:t>II.4.1</w:t>
      </w:r>
    </w:p>
    <w:p w14:paraId="078C85F7" w14:textId="77777777" w:rsidR="00CD5946" w:rsidRDefault="00000000">
      <w:pPr>
        <w:spacing w:before="20" w:after="60"/>
        <w:jc w:val="both"/>
      </w:pPr>
      <w:r>
        <w:rPr>
          <w:rFonts w:ascii="Calibri" w:eastAsia="Calibri" w:hAnsi="Calibri"/>
          <w:b/>
          <w:color w:val="0E5A50"/>
          <w:sz w:val="20"/>
        </w:rPr>
        <w:t xml:space="preserve">II.4.2  </w:t>
      </w:r>
      <w:r>
        <w:rPr>
          <w:sz w:val="20"/>
        </w:rPr>
        <w:t>Equipment shall be constructed so that surfaces contacting raw materials, intermediates or APIs do not alter the quality beyond official or established specifications; substances associated with operation (e.g., lubricants, heating fluids) shall not contact materials so as to alter quality.</w:t>
      </w:r>
    </w:p>
    <w:p w14:paraId="34FC11A6" w14:textId="77777777" w:rsidR="00CD5946" w:rsidRDefault="00000000">
      <w:pPr>
        <w:bidi/>
        <w:spacing w:before="20" w:after="60"/>
        <w:jc w:val="both"/>
      </w:pPr>
      <w:r>
        <w:rPr>
          <w:rFonts w:ascii="Arial" w:eastAsia="Arial" w:hAnsi="Arial"/>
          <w:sz w:val="20"/>
          <w:rtl/>
        </w:rPr>
        <w:t xml:space="preserve">تُصنَع المعدّات بحيث لا تُغيِّر الأسطح الملامِسة للمواد جودتَها خارج المواصفات الرسمية أو المعتمدة، ولا تُلامِس موادُّ التشغيل (كالمزلِّقات وسوائل التسخين) المنتجَ بما يُخِلّ بالجودة.  </w:t>
      </w:r>
      <w:r>
        <w:rPr>
          <w:rFonts w:ascii="Calibri" w:eastAsia="Calibri" w:hAnsi="Calibri"/>
          <w:b/>
          <w:color w:val="14756A"/>
          <w:sz w:val="20"/>
        </w:rPr>
        <w:t>II.4.2</w:t>
      </w:r>
    </w:p>
    <w:p w14:paraId="453DDAA1" w14:textId="77777777" w:rsidR="00CD5946" w:rsidRDefault="00000000">
      <w:pPr>
        <w:spacing w:before="20" w:after="60"/>
        <w:jc w:val="both"/>
      </w:pPr>
      <w:r>
        <w:rPr>
          <w:rFonts w:ascii="Calibri" w:eastAsia="Calibri" w:hAnsi="Calibri"/>
          <w:b/>
          <w:color w:val="0E5A50"/>
          <w:sz w:val="20"/>
        </w:rPr>
        <w:t xml:space="preserve">II.4.3  </w:t>
      </w:r>
      <w:r>
        <w:rPr>
          <w:sz w:val="20"/>
        </w:rPr>
        <w:t>Equipment shall be cleaned, stored and, where appropriate, sanitised or sterilised to prevent contamination or carry-over; cleaning shall be validated for critical steps and a record of use, cleaning and maintenance maintained.</w:t>
      </w:r>
    </w:p>
    <w:p w14:paraId="70F93DB5" w14:textId="77777777" w:rsidR="00CD5946" w:rsidRDefault="00000000">
      <w:pPr>
        <w:bidi/>
        <w:spacing w:before="20" w:after="60"/>
        <w:jc w:val="both"/>
      </w:pPr>
      <w:r>
        <w:rPr>
          <w:rFonts w:ascii="Arial" w:eastAsia="Arial" w:hAnsi="Arial"/>
          <w:sz w:val="20"/>
          <w:rtl/>
        </w:rPr>
        <w:t xml:space="preserve">تُنظَّف المعدّات وتُخزَّن، وعند اللزوم تُطهَّر أو تُعقَّم، لمنع التلوّث أو الترحيل، ويُتحقَّق من التنظيف للخطوات الحرجة، وتُحفَظ سجلّات الاستخدام والتنظيف والصيانة.  </w:t>
      </w:r>
      <w:r>
        <w:rPr>
          <w:rFonts w:ascii="Calibri" w:eastAsia="Calibri" w:hAnsi="Calibri"/>
          <w:b/>
          <w:color w:val="14756A"/>
          <w:sz w:val="20"/>
        </w:rPr>
        <w:t>II.4.3</w:t>
      </w:r>
    </w:p>
    <w:p w14:paraId="24C14630" w14:textId="77777777" w:rsidR="00CD5946" w:rsidRDefault="00000000">
      <w:pPr>
        <w:spacing w:before="20" w:after="60"/>
        <w:jc w:val="both"/>
      </w:pPr>
      <w:r>
        <w:rPr>
          <w:rFonts w:ascii="Calibri" w:eastAsia="Calibri" w:hAnsi="Calibri"/>
          <w:b/>
          <w:color w:val="0E5A50"/>
          <w:sz w:val="20"/>
        </w:rPr>
        <w:t xml:space="preserve">II.4.4  </w:t>
      </w:r>
      <w:r>
        <w:rPr>
          <w:sz w:val="20"/>
        </w:rPr>
        <w:t>Calibration of critical control, weighing, measuring, monitoring and test equipment shall be performed against traceable standards at defined intervals; equipment not meeting criteria shall not be used and its impact investigated.</w:t>
      </w:r>
    </w:p>
    <w:p w14:paraId="25AE559D" w14:textId="77777777" w:rsidR="00CD5946" w:rsidRDefault="00000000">
      <w:pPr>
        <w:bidi/>
        <w:spacing w:before="20" w:after="60"/>
        <w:jc w:val="both"/>
      </w:pPr>
      <w:r>
        <w:rPr>
          <w:rFonts w:ascii="Arial" w:eastAsia="Arial" w:hAnsi="Arial"/>
          <w:sz w:val="20"/>
          <w:rtl/>
        </w:rPr>
        <w:t xml:space="preserve">تُعايَر أجهزة الضبط والوزن والقياس والمراقبة والاختبار الحرجة قياساً على مرجعيات قابلة للتتبّع وعلى فترات محدَّدة، ولا تُستخدَم المعدّات غير المستوفية للمعايير ويُحقَّق في أثرها.  </w:t>
      </w:r>
      <w:r>
        <w:rPr>
          <w:rFonts w:ascii="Calibri" w:eastAsia="Calibri" w:hAnsi="Calibri"/>
          <w:b/>
          <w:color w:val="14756A"/>
          <w:sz w:val="20"/>
        </w:rPr>
        <w:t>II.4.4</w:t>
      </w:r>
    </w:p>
    <w:p w14:paraId="2C172807" w14:textId="77777777" w:rsidR="00CD5946" w:rsidRDefault="00000000">
      <w:pPr>
        <w:spacing w:before="20" w:after="60"/>
        <w:jc w:val="both"/>
      </w:pPr>
      <w:r>
        <w:rPr>
          <w:rFonts w:ascii="Calibri" w:eastAsia="Calibri" w:hAnsi="Calibri"/>
          <w:b/>
          <w:color w:val="0E5A50"/>
          <w:sz w:val="20"/>
        </w:rPr>
        <w:t xml:space="preserve">II.4.5  </w:t>
      </w:r>
      <w:r>
        <w:rPr>
          <w:sz w:val="20"/>
        </w:rPr>
        <w:t>Computerised systems used in GMP shall be validated; access shall be controlled, data secured, audit trails maintained, and changes managed under change control (Annex 11).</w:t>
      </w:r>
    </w:p>
    <w:p w14:paraId="0F674CAB" w14:textId="77777777" w:rsidR="00CD5946" w:rsidRDefault="00000000">
      <w:pPr>
        <w:bidi/>
        <w:spacing w:before="20" w:after="60"/>
        <w:jc w:val="both"/>
      </w:pPr>
      <w:r>
        <w:rPr>
          <w:rFonts w:ascii="Arial" w:eastAsia="Arial" w:hAnsi="Arial"/>
          <w:sz w:val="20"/>
          <w:rtl/>
        </w:rPr>
        <w:t xml:space="preserve">تُتحقَّق الأنظمة المحوسبة المستخدَمة في الممارسات الجيدة، ويُضبَط الوصول وتُؤمَّن البيانات وتُحفَظ مسارات التدقيق وتُدار التغييرات تحت ضبط التغيير (الملحق </w:t>
      </w:r>
      <w:r>
        <w:rPr>
          <w:rFonts w:ascii="Arial" w:eastAsia="Arial" w:hAnsi="Arial"/>
          <w:sz w:val="20"/>
        </w:rPr>
        <w:t>11</w:t>
      </w:r>
      <w:r>
        <w:rPr>
          <w:rFonts w:ascii="Arial" w:eastAsia="Arial" w:hAnsi="Arial"/>
          <w:sz w:val="20"/>
          <w:rtl/>
        </w:rPr>
        <w:t xml:space="preserve">).  </w:t>
      </w:r>
      <w:r>
        <w:rPr>
          <w:rFonts w:ascii="Calibri" w:eastAsia="Calibri" w:hAnsi="Calibri"/>
          <w:b/>
          <w:color w:val="14756A"/>
          <w:sz w:val="20"/>
        </w:rPr>
        <w:t>II.4.5</w:t>
      </w:r>
    </w:p>
    <w:p w14:paraId="08F4F179" w14:textId="77777777" w:rsidR="00CD5946" w:rsidRDefault="00000000">
      <w:pPr>
        <w:pStyle w:val="Heading2"/>
      </w:pPr>
      <w:bookmarkStart w:id="103" w:name="__RefHeading___Toc9363_1729075678"/>
      <w:bookmarkEnd w:id="103"/>
      <w:r>
        <w:t>II.5  Documentation and records</w:t>
      </w:r>
    </w:p>
    <w:p w14:paraId="37E06F06" w14:textId="77777777" w:rsidR="00CD5946" w:rsidRDefault="00000000">
      <w:pPr>
        <w:spacing w:before="20" w:after="60"/>
        <w:jc w:val="both"/>
      </w:pPr>
      <w:r>
        <w:rPr>
          <w:rFonts w:ascii="Calibri" w:eastAsia="Calibri" w:hAnsi="Calibri"/>
          <w:b/>
          <w:color w:val="0E5A50"/>
          <w:sz w:val="20"/>
        </w:rPr>
        <w:t xml:space="preserve">II.5.1  </w:t>
      </w:r>
      <w:r>
        <w:rPr>
          <w:sz w:val="20"/>
        </w:rPr>
        <w:t>A documentation system shall be established that defines specifications, manufacturing instructions, procedures and records; all records shall be legible, attributable, contemporaneous, original (or true copy) and accurate (ALCOA+), and retained for defined periods.</w:t>
      </w:r>
    </w:p>
    <w:p w14:paraId="380FF845" w14:textId="77777777" w:rsidR="00CD5946" w:rsidRDefault="00000000">
      <w:pPr>
        <w:bidi/>
        <w:spacing w:before="20" w:after="60"/>
        <w:jc w:val="both"/>
      </w:pPr>
      <w:r>
        <w:rPr>
          <w:rFonts w:ascii="Arial" w:eastAsia="Arial" w:hAnsi="Arial"/>
          <w:sz w:val="20"/>
          <w:rtl/>
        </w:rPr>
        <w:t>يُنشأ نظام توثيق يحدِّد المواصفات وتعليمات التصنيع والإجراءات والسجلّات، وتكون السجلّات مقروءة ومنسوبة وآنيّة وأصلية (أو نسخة طبق الأصل) ودقيقة (</w:t>
      </w:r>
      <w:r>
        <w:rPr>
          <w:rFonts w:ascii="Arial" w:eastAsia="Arial" w:hAnsi="Arial"/>
          <w:sz w:val="20"/>
        </w:rPr>
        <w:t>ALCOA</w:t>
      </w:r>
      <w:r>
        <w:rPr>
          <w:rFonts w:ascii="Arial" w:eastAsia="Arial" w:hAnsi="Arial"/>
          <w:sz w:val="20"/>
          <w:rtl/>
        </w:rPr>
        <w:t xml:space="preserve">+)، وتُحفَظ لمدد محدَّدة.  </w:t>
      </w:r>
      <w:r>
        <w:rPr>
          <w:rFonts w:ascii="Calibri" w:eastAsia="Calibri" w:hAnsi="Calibri"/>
          <w:b/>
          <w:color w:val="14756A"/>
          <w:sz w:val="20"/>
        </w:rPr>
        <w:t>II.5.1</w:t>
      </w:r>
    </w:p>
    <w:p w14:paraId="57B446A8" w14:textId="77777777" w:rsidR="00CD5946" w:rsidRDefault="00000000">
      <w:pPr>
        <w:spacing w:before="20" w:after="60"/>
        <w:jc w:val="both"/>
      </w:pPr>
      <w:r>
        <w:rPr>
          <w:rFonts w:ascii="Calibri" w:eastAsia="Calibri" w:hAnsi="Calibri"/>
          <w:b/>
          <w:color w:val="0E5A50"/>
          <w:sz w:val="20"/>
        </w:rPr>
        <w:lastRenderedPageBreak/>
        <w:t xml:space="preserve">II.5.2  </w:t>
      </w:r>
      <w:r>
        <w:rPr>
          <w:sz w:val="20"/>
        </w:rPr>
        <w:t>Master production instructions (master batch records) shall be prepared, reviewed, dated and signed by an independent person in the quality unit, and shall specify materials, quantities, critical steps, in-process controls and expected yields.</w:t>
      </w:r>
    </w:p>
    <w:p w14:paraId="3A0781D5" w14:textId="77777777" w:rsidR="00CD5946" w:rsidRDefault="00000000">
      <w:pPr>
        <w:bidi/>
        <w:spacing w:before="20" w:after="60"/>
        <w:jc w:val="both"/>
      </w:pPr>
      <w:r>
        <w:rPr>
          <w:rFonts w:ascii="Arial" w:eastAsia="Arial" w:hAnsi="Arial"/>
          <w:sz w:val="20"/>
          <w:rtl/>
        </w:rPr>
        <w:t xml:space="preserve">تُعدّ تعليمات الإنتاج الأمّ (سجلّات التشغيلة الأمّ) وتُراجَع وتُؤرَّخ وتُوقَّع من شخص مستقلّ في وحدة الجودة، وتحدِّد المواد والكمّيات والخطوات الحرجة والضبط أثناء التشغيل والمردودات المتوقَّعة.  </w:t>
      </w:r>
      <w:r>
        <w:rPr>
          <w:rFonts w:ascii="Calibri" w:eastAsia="Calibri" w:hAnsi="Calibri"/>
          <w:b/>
          <w:color w:val="14756A"/>
          <w:sz w:val="20"/>
        </w:rPr>
        <w:t>II.5.2</w:t>
      </w:r>
    </w:p>
    <w:p w14:paraId="4D0CAA4F" w14:textId="77777777" w:rsidR="00CD5946" w:rsidRDefault="00000000">
      <w:pPr>
        <w:spacing w:before="20" w:after="60"/>
        <w:jc w:val="both"/>
      </w:pPr>
      <w:r>
        <w:rPr>
          <w:rFonts w:ascii="Calibri" w:eastAsia="Calibri" w:hAnsi="Calibri"/>
          <w:b/>
          <w:color w:val="0E5A50"/>
          <w:sz w:val="20"/>
        </w:rPr>
        <w:t xml:space="preserve">II.5.3  </w:t>
      </w:r>
      <w:r>
        <w:rPr>
          <w:sz w:val="20"/>
        </w:rPr>
        <w:t>Batch production records shall be prepared for each intermediate and API, retain a complete account of each significant step, and be reviewed and approved by the quality unit before the batch is released or distributed.</w:t>
      </w:r>
    </w:p>
    <w:p w14:paraId="79EE820C" w14:textId="77777777" w:rsidR="00CD5946" w:rsidRDefault="00000000">
      <w:pPr>
        <w:bidi/>
        <w:spacing w:before="20" w:after="60"/>
        <w:jc w:val="both"/>
      </w:pPr>
      <w:r>
        <w:rPr>
          <w:rFonts w:ascii="Arial" w:eastAsia="Arial" w:hAnsi="Arial"/>
          <w:sz w:val="20"/>
          <w:rtl/>
        </w:rPr>
        <w:t xml:space="preserve">يُعدّ سجلّ إنتاج لكلّ وسيط ومادة فعّالة يحتفظ بسردٍ كامل لكلّ خطوة مهمّة، ويُراجَع ويُعتمَد من وحدة الجودة قبل الإفراج أو التوزيع.  </w:t>
      </w:r>
      <w:r>
        <w:rPr>
          <w:rFonts w:ascii="Calibri" w:eastAsia="Calibri" w:hAnsi="Calibri"/>
          <w:b/>
          <w:color w:val="14756A"/>
          <w:sz w:val="20"/>
        </w:rPr>
        <w:t>II.5.3</w:t>
      </w:r>
    </w:p>
    <w:p w14:paraId="4DFFEF09" w14:textId="77777777" w:rsidR="00CD5946" w:rsidRDefault="00000000">
      <w:pPr>
        <w:spacing w:before="20" w:after="60"/>
        <w:jc w:val="both"/>
      </w:pPr>
      <w:r>
        <w:rPr>
          <w:rFonts w:ascii="Calibri" w:eastAsia="Calibri" w:hAnsi="Calibri"/>
          <w:b/>
          <w:color w:val="0E5A50"/>
          <w:sz w:val="20"/>
        </w:rPr>
        <w:t xml:space="preserve">II.5.4  </w:t>
      </w:r>
      <w:r>
        <w:rPr>
          <w:sz w:val="20"/>
        </w:rPr>
        <w:t>Records related to production, control and distribution that enable the complete history of a batch to be traced shall be retained for at least one year after the expiry date of the batch (or, for APIs with retest dates, at least three years after full distribution).</w:t>
      </w:r>
    </w:p>
    <w:p w14:paraId="6E81FCAA" w14:textId="77777777" w:rsidR="00CD5946" w:rsidRDefault="00000000">
      <w:pPr>
        <w:bidi/>
        <w:spacing w:before="20" w:after="60"/>
        <w:jc w:val="both"/>
      </w:pPr>
      <w:r>
        <w:rPr>
          <w:rFonts w:ascii="Arial" w:eastAsia="Arial" w:hAnsi="Arial"/>
          <w:sz w:val="20"/>
          <w:rtl/>
        </w:rPr>
        <w:t xml:space="preserve">تُحفَظ سجلّات الإنتاج والضبط والتوزيع التي تتيح تتبّع التاريخ الكامل للتشغيلة لمدّة لا تقلّ عن سنة بعد تاريخ انتهاء الصلاحية (أو لا تقلّ عن ثلاث سنوات بعد التوزيع الكامل للمواد ذات تاريخ إعادة الاختبار).  </w:t>
      </w:r>
      <w:r>
        <w:rPr>
          <w:rFonts w:ascii="Calibri" w:eastAsia="Calibri" w:hAnsi="Calibri"/>
          <w:b/>
          <w:color w:val="14756A"/>
          <w:sz w:val="20"/>
        </w:rPr>
        <w:t>II.5.4</w:t>
      </w:r>
    </w:p>
    <w:p w14:paraId="0BC70224" w14:textId="77777777" w:rsidR="00CD5946" w:rsidRDefault="00000000">
      <w:pPr>
        <w:pStyle w:val="Heading2"/>
      </w:pPr>
      <w:bookmarkStart w:id="104" w:name="__RefHeading___Toc9365_1729075678"/>
      <w:bookmarkEnd w:id="104"/>
      <w:r>
        <w:t>II.6  Materials management</w:t>
      </w:r>
    </w:p>
    <w:p w14:paraId="6CA9E6A2" w14:textId="77777777" w:rsidR="00CD5946" w:rsidRDefault="00000000">
      <w:pPr>
        <w:spacing w:before="20" w:after="60"/>
        <w:jc w:val="both"/>
      </w:pPr>
      <w:r>
        <w:rPr>
          <w:rFonts w:ascii="Calibri" w:eastAsia="Calibri" w:hAnsi="Calibri"/>
          <w:b/>
          <w:color w:val="0E5A50"/>
          <w:sz w:val="20"/>
        </w:rPr>
        <w:t xml:space="preserve">II.6.1  </w:t>
      </w:r>
      <w:r>
        <w:rPr>
          <w:sz w:val="20"/>
        </w:rPr>
        <w:t>There shall be written procedures for the receipt, identification, quarantine, storage, handling, sampling, testing, and approval or rejection of materials; incoming materials shall be checked against the order and verified for container integrity and labelling.</w:t>
      </w:r>
    </w:p>
    <w:p w14:paraId="4D01C099" w14:textId="77777777" w:rsidR="00CD5946" w:rsidRDefault="00000000">
      <w:pPr>
        <w:bidi/>
        <w:spacing w:before="20" w:after="60"/>
        <w:jc w:val="both"/>
      </w:pPr>
      <w:r>
        <w:rPr>
          <w:rFonts w:ascii="Arial" w:eastAsia="Arial" w:hAnsi="Arial"/>
          <w:sz w:val="20"/>
          <w:rtl/>
        </w:rPr>
        <w:t xml:space="preserve">تُوضَع إجراءات مكتوبة لاستلام المواد وتعريفها وحجرها وتخزينها ومناولتها وأخذ عيّناتها واختبارها واعتمادها أو رفضها، وتُطابَق المواد الواردة مع الطلب ويُتحقَّق من سلامة الأوعية والوسم.  </w:t>
      </w:r>
      <w:r>
        <w:rPr>
          <w:rFonts w:ascii="Calibri" w:eastAsia="Calibri" w:hAnsi="Calibri"/>
          <w:b/>
          <w:color w:val="14756A"/>
          <w:sz w:val="20"/>
        </w:rPr>
        <w:t>II.6.1</w:t>
      </w:r>
    </w:p>
    <w:p w14:paraId="57468F36" w14:textId="77777777" w:rsidR="00CD5946" w:rsidRDefault="00000000">
      <w:pPr>
        <w:spacing w:before="20" w:after="60"/>
        <w:jc w:val="both"/>
      </w:pPr>
      <w:r>
        <w:rPr>
          <w:rFonts w:ascii="Calibri" w:eastAsia="Calibri" w:hAnsi="Calibri"/>
          <w:b/>
          <w:color w:val="0E5A50"/>
          <w:sz w:val="20"/>
        </w:rPr>
        <w:t xml:space="preserve">II.6.2  </w:t>
      </w:r>
      <w:r>
        <w:rPr>
          <w:sz w:val="20"/>
        </w:rPr>
        <w:t>At least one test to verify the identity of each batch of raw material shall be conducted; a supplier's certificate of analysis may substitute for other testing provided the manufacturer has established the reliability of the supplier through validation and periodic re-confirmation.</w:t>
      </w:r>
    </w:p>
    <w:p w14:paraId="48F0FE75" w14:textId="77777777" w:rsidR="00CD5946" w:rsidRDefault="00000000">
      <w:pPr>
        <w:bidi/>
        <w:spacing w:before="20" w:after="60"/>
        <w:jc w:val="both"/>
      </w:pPr>
      <w:r>
        <w:rPr>
          <w:rFonts w:ascii="Arial" w:eastAsia="Arial" w:hAnsi="Arial"/>
          <w:sz w:val="20"/>
          <w:rtl/>
        </w:rPr>
        <w:t xml:space="preserve">يُجرى اختبار واحد على الأقلّ للتحقّق من هويّة كلّ تشغيلة من المادة الخام، ويجوز الاكتفاء بشهادة تحليل المورِّد بدلاً من اختبارات أخرى متى أثبت الصانع موثوقية المورِّد عبر التحقّق وإعادة التأكيد الدوري.  </w:t>
      </w:r>
      <w:r>
        <w:rPr>
          <w:rFonts w:ascii="Calibri" w:eastAsia="Calibri" w:hAnsi="Calibri"/>
          <w:b/>
          <w:color w:val="14756A"/>
          <w:sz w:val="20"/>
        </w:rPr>
        <w:t>II.6.2</w:t>
      </w:r>
    </w:p>
    <w:p w14:paraId="605EA14C" w14:textId="77777777" w:rsidR="00CD5946" w:rsidRDefault="00000000">
      <w:pPr>
        <w:spacing w:before="20" w:after="60"/>
        <w:jc w:val="both"/>
      </w:pPr>
      <w:r>
        <w:rPr>
          <w:rFonts w:ascii="Calibri" w:eastAsia="Calibri" w:hAnsi="Calibri"/>
          <w:b/>
          <w:color w:val="0E5A50"/>
          <w:sz w:val="20"/>
        </w:rPr>
        <w:t xml:space="preserve">II.6.3  </w:t>
      </w:r>
      <w:r>
        <w:rPr>
          <w:sz w:val="20"/>
        </w:rPr>
        <w:t>Materials shall be stored under conditions and for periods that have no adverse effect on quality, and normally controlled so that the oldest stock is used first; rejected materials shall be identified and controlled to prevent unauthorised use.</w:t>
      </w:r>
    </w:p>
    <w:p w14:paraId="295ED5CD" w14:textId="77777777" w:rsidR="00CD5946" w:rsidRDefault="00000000">
      <w:pPr>
        <w:bidi/>
        <w:spacing w:before="20" w:after="60"/>
        <w:jc w:val="both"/>
      </w:pPr>
      <w:r>
        <w:rPr>
          <w:rFonts w:ascii="Arial" w:eastAsia="Arial" w:hAnsi="Arial"/>
          <w:sz w:val="20"/>
          <w:rtl/>
        </w:rPr>
        <w:t xml:space="preserve">تُخزَّن المواد بظروفٍ ولمدد لا تؤثّر سلباً في الجودة، ويُستخدَم الأقدم أولاً عادةً، وتُعرَّف المواد المرفوضة وتُضبَط لمنع الاستخدام غير المصرَّح به.  </w:t>
      </w:r>
      <w:r>
        <w:rPr>
          <w:rFonts w:ascii="Calibri" w:eastAsia="Calibri" w:hAnsi="Calibri"/>
          <w:b/>
          <w:color w:val="14756A"/>
          <w:sz w:val="20"/>
        </w:rPr>
        <w:t>II.6.3</w:t>
      </w:r>
    </w:p>
    <w:p w14:paraId="363CD03F" w14:textId="77777777" w:rsidR="00CD5946" w:rsidRDefault="00000000">
      <w:pPr>
        <w:pStyle w:val="Heading2"/>
      </w:pPr>
      <w:bookmarkStart w:id="105" w:name="__RefHeading___Toc9367_1729075678"/>
      <w:bookmarkEnd w:id="105"/>
      <w:r>
        <w:t>II.7  Production and in-process controls</w:t>
      </w:r>
    </w:p>
    <w:p w14:paraId="560DD242" w14:textId="77777777" w:rsidR="00CD5946" w:rsidRDefault="00000000">
      <w:pPr>
        <w:spacing w:before="20" w:after="60"/>
        <w:jc w:val="both"/>
      </w:pPr>
      <w:r>
        <w:rPr>
          <w:rFonts w:ascii="Calibri" w:eastAsia="Calibri" w:hAnsi="Calibri"/>
          <w:b/>
          <w:color w:val="0E5A50"/>
          <w:sz w:val="20"/>
        </w:rPr>
        <w:t xml:space="preserve">II.7.1  </w:t>
      </w:r>
      <w:r>
        <w:rPr>
          <w:sz w:val="20"/>
        </w:rPr>
        <w:t>Raw materials shall be weighed or measured under appropriate conditions; critical weighing and measuring operations shall be witnessed or subjected to an equivalent control; actual yields shall be compared with expected yields at designated steps.</w:t>
      </w:r>
    </w:p>
    <w:p w14:paraId="6B4811DB" w14:textId="77777777" w:rsidR="00CD5946" w:rsidRDefault="00000000">
      <w:pPr>
        <w:bidi/>
        <w:spacing w:before="20" w:after="60"/>
        <w:jc w:val="both"/>
      </w:pPr>
      <w:r>
        <w:rPr>
          <w:rFonts w:ascii="Arial" w:eastAsia="Arial" w:hAnsi="Arial"/>
          <w:sz w:val="20"/>
          <w:rtl/>
        </w:rPr>
        <w:t xml:space="preserve">تُوزَن المواد الخام أو تُقاس بظروف ملائمة، وتُشهَد عمليات الوزن والقياس الحرجة أو تُخضَع لضبط مكافئ، وتُقارَن المردودات الفعلية بالمتوقَّعة عند الخطوات المعيَّنة.  </w:t>
      </w:r>
      <w:r>
        <w:rPr>
          <w:rFonts w:ascii="Calibri" w:eastAsia="Calibri" w:hAnsi="Calibri"/>
          <w:b/>
          <w:color w:val="14756A"/>
          <w:sz w:val="20"/>
        </w:rPr>
        <w:t>II.7.1</w:t>
      </w:r>
    </w:p>
    <w:p w14:paraId="46E1DD45" w14:textId="77777777" w:rsidR="00CD5946" w:rsidRDefault="00000000">
      <w:pPr>
        <w:spacing w:before="20" w:after="60"/>
        <w:jc w:val="both"/>
      </w:pPr>
      <w:r>
        <w:rPr>
          <w:rFonts w:ascii="Calibri" w:eastAsia="Calibri" w:hAnsi="Calibri"/>
          <w:b/>
          <w:color w:val="0E5A50"/>
          <w:sz w:val="20"/>
        </w:rPr>
        <w:t xml:space="preserve">II.7.2  </w:t>
      </w:r>
      <w:r>
        <w:rPr>
          <w:sz w:val="20"/>
        </w:rPr>
        <w:t>Critical process parameters shall be controlled and monitored within established ranges; in-process sampling and controls shall be defined to ensure the intermediate and API conform to specification.</w:t>
      </w:r>
    </w:p>
    <w:p w14:paraId="61F26A52" w14:textId="77777777" w:rsidR="00CD5946" w:rsidRDefault="00000000">
      <w:pPr>
        <w:bidi/>
        <w:spacing w:before="20" w:after="60"/>
        <w:jc w:val="both"/>
      </w:pPr>
      <w:r>
        <w:rPr>
          <w:rFonts w:ascii="Arial" w:eastAsia="Arial" w:hAnsi="Arial"/>
          <w:sz w:val="20"/>
          <w:rtl/>
        </w:rPr>
        <w:t xml:space="preserve">تُضبَط معالم العملية الحرجة وتُراقَب ضمن نطاقات معتمدة، ويُحدَّد أخذ العيّنات والضبط أثناء التشغيل لضمان مطابقة الوسيط والمادة الفعّالة للمواصفات.  </w:t>
      </w:r>
      <w:r>
        <w:rPr>
          <w:rFonts w:ascii="Calibri" w:eastAsia="Calibri" w:hAnsi="Calibri"/>
          <w:b/>
          <w:color w:val="14756A"/>
          <w:sz w:val="20"/>
        </w:rPr>
        <w:t>II.7.2</w:t>
      </w:r>
    </w:p>
    <w:p w14:paraId="2BE5A5DB" w14:textId="77777777" w:rsidR="00CD5946" w:rsidRDefault="00000000">
      <w:pPr>
        <w:spacing w:before="20" w:after="60"/>
        <w:jc w:val="both"/>
      </w:pPr>
      <w:r>
        <w:rPr>
          <w:rFonts w:ascii="Calibri" w:eastAsia="Calibri" w:hAnsi="Calibri"/>
          <w:b/>
          <w:color w:val="0E5A50"/>
          <w:sz w:val="20"/>
        </w:rPr>
        <w:t xml:space="preserve">II.7.3  </w:t>
      </w:r>
      <w:r>
        <w:rPr>
          <w:sz w:val="20"/>
        </w:rPr>
        <w:t>Measures to prevent cross-contamination shall be applied when processing different materials in the same equipment or area, including cleaning, campaign production, or dedicated equipment where justified by toxicological assessment.</w:t>
      </w:r>
    </w:p>
    <w:p w14:paraId="241882C6" w14:textId="77777777" w:rsidR="00CD5946" w:rsidRDefault="00000000">
      <w:pPr>
        <w:bidi/>
        <w:spacing w:before="20" w:after="60"/>
        <w:jc w:val="both"/>
      </w:pPr>
      <w:r>
        <w:rPr>
          <w:rFonts w:ascii="Arial" w:eastAsia="Arial" w:hAnsi="Arial"/>
          <w:sz w:val="20"/>
          <w:rtl/>
        </w:rPr>
        <w:lastRenderedPageBreak/>
        <w:t xml:space="preserve">تُطبَّق تدابير منع التلوّث المتبادل عند معالجة مواد مختلفة في المعدّة أو المنطقة ذاتها، شاملةً التنظيف أو الإنتاج بالحملات أو تخصيص المعدّات متى بُرِّر بتقييم سمّي.  </w:t>
      </w:r>
      <w:r>
        <w:rPr>
          <w:rFonts w:ascii="Calibri" w:eastAsia="Calibri" w:hAnsi="Calibri"/>
          <w:b/>
          <w:color w:val="14756A"/>
          <w:sz w:val="20"/>
        </w:rPr>
        <w:t>II.7.3</w:t>
      </w:r>
    </w:p>
    <w:p w14:paraId="5B5DB2F4" w14:textId="77777777" w:rsidR="00CD5946" w:rsidRDefault="00000000">
      <w:pPr>
        <w:spacing w:before="20" w:after="60"/>
        <w:jc w:val="both"/>
      </w:pPr>
      <w:r>
        <w:rPr>
          <w:rFonts w:ascii="Calibri" w:eastAsia="Calibri" w:hAnsi="Calibri"/>
          <w:b/>
          <w:color w:val="0E5A50"/>
          <w:sz w:val="20"/>
        </w:rPr>
        <w:t xml:space="preserve">II.7.4  </w:t>
      </w:r>
      <w:r>
        <w:rPr>
          <w:sz w:val="20"/>
        </w:rPr>
        <w:t>Time limits and process conditions for holding intermediates shall be established and justified where they may affect quality; deviations from instructions shall be documented, investigated and assessed for impact.</w:t>
      </w:r>
    </w:p>
    <w:p w14:paraId="34A7305B" w14:textId="77777777" w:rsidR="00CD5946" w:rsidRDefault="00000000">
      <w:pPr>
        <w:bidi/>
        <w:spacing w:before="20" w:after="60"/>
        <w:jc w:val="both"/>
      </w:pPr>
      <w:r>
        <w:rPr>
          <w:rFonts w:ascii="Arial" w:eastAsia="Arial" w:hAnsi="Arial"/>
          <w:sz w:val="20"/>
          <w:rtl/>
        </w:rPr>
        <w:t xml:space="preserve">تُحدَّد حدود الزمن وظروف العملية لحفظ الوسائط وتُبرَّر متى أثّرت في الجودة، وتُوثَّق الانحرافات عن التعليمات ويُحقَّق فيها ويُقيَّم أثرها.  </w:t>
      </w:r>
      <w:r>
        <w:rPr>
          <w:rFonts w:ascii="Calibri" w:eastAsia="Calibri" w:hAnsi="Calibri"/>
          <w:b/>
          <w:color w:val="14756A"/>
          <w:sz w:val="20"/>
        </w:rPr>
        <w:t>II.7.4</w:t>
      </w:r>
    </w:p>
    <w:p w14:paraId="0CF6D440" w14:textId="77777777" w:rsidR="00CD5946" w:rsidRDefault="00000000">
      <w:pPr>
        <w:pStyle w:val="Heading2"/>
      </w:pPr>
      <w:bookmarkStart w:id="106" w:name="__RefHeading___Toc9369_1729075678"/>
      <w:bookmarkEnd w:id="106"/>
      <w:r>
        <w:t>II.8  Packaging and identification labelling</w:t>
      </w:r>
    </w:p>
    <w:p w14:paraId="74394FC6" w14:textId="77777777" w:rsidR="00CD5946" w:rsidRDefault="00000000">
      <w:pPr>
        <w:spacing w:before="20" w:after="60"/>
        <w:jc w:val="both"/>
      </w:pPr>
      <w:r>
        <w:rPr>
          <w:rFonts w:ascii="Calibri" w:eastAsia="Calibri" w:hAnsi="Calibri"/>
          <w:b/>
          <w:color w:val="0E5A50"/>
          <w:sz w:val="20"/>
        </w:rPr>
        <w:t xml:space="preserve">II.8.1  </w:t>
      </w:r>
      <w:r>
        <w:rPr>
          <w:sz w:val="20"/>
        </w:rPr>
        <w:t>There shall be written procedures to ensure correct packaging materials and labels are used; labelling operations shall be controlled to prevent mix-ups, and label issuance, use and reconciliation shall be recorded.</w:t>
      </w:r>
    </w:p>
    <w:p w14:paraId="55B6456E" w14:textId="77777777" w:rsidR="00CD5946" w:rsidRDefault="00000000">
      <w:pPr>
        <w:bidi/>
        <w:spacing w:before="20" w:after="60"/>
        <w:jc w:val="both"/>
      </w:pPr>
      <w:r>
        <w:rPr>
          <w:rFonts w:ascii="Arial" w:eastAsia="Arial" w:hAnsi="Arial"/>
          <w:sz w:val="20"/>
          <w:rtl/>
        </w:rPr>
        <w:t xml:space="preserve">تُوضَع إجراءات مكتوبة لضمان استخدام مواد التعبئة والملصقات الصحيحة، وتُضبَط عمليات الوسم لمنع الاختلاط، وتُسجَّل عمليات صرف الملصقات واستخدامها وموازنتها.  </w:t>
      </w:r>
      <w:r>
        <w:rPr>
          <w:rFonts w:ascii="Calibri" w:eastAsia="Calibri" w:hAnsi="Calibri"/>
          <w:b/>
          <w:color w:val="14756A"/>
          <w:sz w:val="20"/>
        </w:rPr>
        <w:t>II.8.1</w:t>
      </w:r>
    </w:p>
    <w:p w14:paraId="4C927962" w14:textId="77777777" w:rsidR="00CD5946" w:rsidRDefault="00000000">
      <w:pPr>
        <w:spacing w:before="20" w:after="60"/>
        <w:jc w:val="both"/>
      </w:pPr>
      <w:r>
        <w:rPr>
          <w:rFonts w:ascii="Calibri" w:eastAsia="Calibri" w:hAnsi="Calibri"/>
          <w:b/>
          <w:color w:val="0E5A50"/>
          <w:sz w:val="20"/>
        </w:rPr>
        <w:t xml:space="preserve">II.8.2  </w:t>
      </w:r>
      <w:r>
        <w:rPr>
          <w:sz w:val="20"/>
        </w:rPr>
        <w:t>Containers shall provide adequate protection against deterioration and contamination from the point of filling until use; each container shall be labelled with the name/identifying code, batch number, storage conditions and, where required, the retest or expiry date.</w:t>
      </w:r>
    </w:p>
    <w:p w14:paraId="2A477813" w14:textId="77777777" w:rsidR="00CD5946" w:rsidRDefault="00000000">
      <w:pPr>
        <w:bidi/>
        <w:spacing w:before="20" w:after="60"/>
        <w:jc w:val="both"/>
      </w:pPr>
      <w:r>
        <w:rPr>
          <w:rFonts w:ascii="Arial" w:eastAsia="Arial" w:hAnsi="Arial"/>
          <w:sz w:val="20"/>
          <w:rtl/>
        </w:rPr>
        <w:t xml:space="preserve">تُوفّر الأوعية حمايةً كافية من التدهور والتلوّث من لحظة التعبئة حتى الاستخدام، ويُوسَم كلّ وعاء بالاسم/الرمز المعرِّف ورقم التشغيلة وظروف التخزين وتاريخ إعادة الاختبار أو الانتهاء عند اللزوم.  </w:t>
      </w:r>
      <w:r>
        <w:rPr>
          <w:rFonts w:ascii="Calibri" w:eastAsia="Calibri" w:hAnsi="Calibri"/>
          <w:b/>
          <w:color w:val="14756A"/>
          <w:sz w:val="20"/>
        </w:rPr>
        <w:t>II.8.2</w:t>
      </w:r>
    </w:p>
    <w:p w14:paraId="12D631B8" w14:textId="77777777" w:rsidR="00CD5946" w:rsidRDefault="00000000">
      <w:pPr>
        <w:pStyle w:val="Heading2"/>
      </w:pPr>
      <w:bookmarkStart w:id="107" w:name="__RefHeading___Toc9371_1729075678"/>
      <w:bookmarkEnd w:id="107"/>
      <w:r>
        <w:t>II.9  Storage and distribution</w:t>
      </w:r>
    </w:p>
    <w:p w14:paraId="3E3E17E4" w14:textId="77777777" w:rsidR="00CD5946" w:rsidRDefault="00000000">
      <w:pPr>
        <w:spacing w:before="20" w:after="60"/>
        <w:jc w:val="both"/>
      </w:pPr>
      <w:r>
        <w:rPr>
          <w:rFonts w:ascii="Calibri" w:eastAsia="Calibri" w:hAnsi="Calibri"/>
          <w:b/>
          <w:color w:val="0E5A50"/>
          <w:sz w:val="20"/>
        </w:rPr>
        <w:t xml:space="preserve">II.9.1  </w:t>
      </w:r>
      <w:r>
        <w:rPr>
          <w:sz w:val="20"/>
        </w:rPr>
        <w:t>APIs and intermediates shall be stored under conditions that maintain their quality, and quarantined, released, rejected or returned stock shall be clearly identified and segregated.</w:t>
      </w:r>
    </w:p>
    <w:p w14:paraId="6F275A92" w14:textId="77777777" w:rsidR="00CD5946" w:rsidRDefault="00000000">
      <w:pPr>
        <w:bidi/>
        <w:spacing w:before="20" w:after="60"/>
        <w:jc w:val="both"/>
      </w:pPr>
      <w:r>
        <w:rPr>
          <w:rFonts w:ascii="Arial" w:eastAsia="Arial" w:hAnsi="Arial"/>
          <w:sz w:val="20"/>
          <w:rtl/>
        </w:rPr>
        <w:t xml:space="preserve">تُخزَّن المواد الفعّالة والوسائط بظروفٍ تصون جودتها، ويُعرَّف المخزون المحجوز والمُفرَج عنه والمرفوض والمرتجَع ويُفصَل بوضوح.  </w:t>
      </w:r>
      <w:r>
        <w:rPr>
          <w:rFonts w:ascii="Calibri" w:eastAsia="Calibri" w:hAnsi="Calibri"/>
          <w:b/>
          <w:color w:val="14756A"/>
          <w:sz w:val="20"/>
        </w:rPr>
        <w:t>II.9.1</w:t>
      </w:r>
    </w:p>
    <w:p w14:paraId="53CA7D96" w14:textId="77777777" w:rsidR="00CD5946" w:rsidRDefault="00000000">
      <w:pPr>
        <w:spacing w:before="20" w:after="60"/>
        <w:jc w:val="both"/>
      </w:pPr>
      <w:r>
        <w:rPr>
          <w:rFonts w:ascii="Calibri" w:eastAsia="Calibri" w:hAnsi="Calibri"/>
          <w:b/>
          <w:color w:val="0E5A50"/>
          <w:sz w:val="20"/>
        </w:rPr>
        <w:t xml:space="preserve">II.9.2  </w:t>
      </w:r>
      <w:r>
        <w:rPr>
          <w:sz w:val="20"/>
        </w:rPr>
        <w:t>APIs shall be transported in a manner that does not adversely affect their quality, and special transport or storage conditions shall be stated on the label; distribution records shall permit recall.</w:t>
      </w:r>
    </w:p>
    <w:p w14:paraId="1A40C8B9" w14:textId="77777777" w:rsidR="00CD5946" w:rsidRDefault="00000000">
      <w:pPr>
        <w:bidi/>
        <w:spacing w:before="20" w:after="60"/>
        <w:jc w:val="both"/>
      </w:pPr>
      <w:r>
        <w:rPr>
          <w:rFonts w:ascii="Arial" w:eastAsia="Arial" w:hAnsi="Arial"/>
          <w:sz w:val="20"/>
          <w:rtl/>
        </w:rPr>
        <w:t xml:space="preserve">تُنقَل المواد الفعّالة بما لا يؤثّر سلباً في جودتها، وتُبيَّن ظروف النقل أو التخزين الخاصة على الملصق، وتتيح سجلّات التوزيع إجراء الاستدعاء.  </w:t>
      </w:r>
      <w:r>
        <w:rPr>
          <w:rFonts w:ascii="Calibri" w:eastAsia="Calibri" w:hAnsi="Calibri"/>
          <w:b/>
          <w:color w:val="14756A"/>
          <w:sz w:val="20"/>
        </w:rPr>
        <w:t>II.9.2</w:t>
      </w:r>
    </w:p>
    <w:p w14:paraId="426123E5" w14:textId="77777777" w:rsidR="00CD5946" w:rsidRDefault="00000000">
      <w:pPr>
        <w:pStyle w:val="Heading2"/>
      </w:pPr>
      <w:bookmarkStart w:id="108" w:name="__RefHeading___Toc9373_1729075678"/>
      <w:bookmarkEnd w:id="108"/>
      <w:r>
        <w:t>II.10  Laboratory controls</w:t>
      </w:r>
    </w:p>
    <w:p w14:paraId="23AAD4FF" w14:textId="77777777" w:rsidR="00CD5946" w:rsidRDefault="00000000">
      <w:pPr>
        <w:spacing w:before="20" w:after="60"/>
        <w:jc w:val="both"/>
      </w:pPr>
      <w:r>
        <w:rPr>
          <w:rFonts w:ascii="Calibri" w:eastAsia="Calibri" w:hAnsi="Calibri"/>
          <w:b/>
          <w:color w:val="0E5A50"/>
          <w:sz w:val="20"/>
        </w:rPr>
        <w:t xml:space="preserve">II.10.1  </w:t>
      </w:r>
      <w:r>
        <w:rPr>
          <w:sz w:val="20"/>
        </w:rPr>
        <w:t>Each laboratory shall have documented specifications, sampling plans and test procedures; testing shall verify that materials, intermediates and APIs conform to established standards of quality and purity.</w:t>
      </w:r>
    </w:p>
    <w:p w14:paraId="6BB9F514" w14:textId="77777777" w:rsidR="00CD5946" w:rsidRDefault="00000000">
      <w:pPr>
        <w:bidi/>
        <w:spacing w:before="20" w:after="60"/>
        <w:jc w:val="both"/>
      </w:pPr>
      <w:r>
        <w:rPr>
          <w:rFonts w:ascii="Arial" w:eastAsia="Arial" w:hAnsi="Arial"/>
          <w:sz w:val="20"/>
          <w:rtl/>
        </w:rPr>
        <w:t xml:space="preserve">يكون لكلّ مختبر مواصفات وخطط أخذ عيّنات وإجراءات اختبار موثَّقة، ويتحقّق الاختبار من مطابقة المواد والوسائط والمواد الفعّالة لمعايير الجودة والنقاء المعتمدة.  </w:t>
      </w:r>
      <w:r>
        <w:rPr>
          <w:rFonts w:ascii="Calibri" w:eastAsia="Calibri" w:hAnsi="Calibri"/>
          <w:b/>
          <w:color w:val="14756A"/>
          <w:sz w:val="20"/>
        </w:rPr>
        <w:t>II.10.1</w:t>
      </w:r>
    </w:p>
    <w:p w14:paraId="57FBF42E" w14:textId="77777777" w:rsidR="00CD5946" w:rsidRDefault="00000000">
      <w:pPr>
        <w:spacing w:before="20" w:after="60"/>
        <w:jc w:val="both"/>
      </w:pPr>
      <w:r>
        <w:rPr>
          <w:rFonts w:ascii="Calibri" w:eastAsia="Calibri" w:hAnsi="Calibri"/>
          <w:b/>
          <w:color w:val="0E5A50"/>
          <w:sz w:val="20"/>
        </w:rPr>
        <w:t xml:space="preserve">II.10.2  </w:t>
      </w:r>
      <w:r>
        <w:rPr>
          <w:sz w:val="20"/>
        </w:rPr>
        <w:t>Out-of-specification results shall be investigated and documented in accordance with a procedure; the investigation shall extend to other batches and products possibly associated with the failure.</w:t>
      </w:r>
    </w:p>
    <w:p w14:paraId="77D3628C" w14:textId="77777777" w:rsidR="00CD5946" w:rsidRDefault="00000000">
      <w:pPr>
        <w:bidi/>
        <w:spacing w:before="20" w:after="60"/>
        <w:jc w:val="both"/>
      </w:pPr>
      <w:r>
        <w:rPr>
          <w:rFonts w:ascii="Arial" w:eastAsia="Arial" w:hAnsi="Arial"/>
          <w:sz w:val="20"/>
          <w:rtl/>
        </w:rPr>
        <w:t xml:space="preserve">تُحقَّق النتائج المخالفة للمواصفات وتُوثَّق وفق إجراء، ويمتدّ التحقيق إلى التشغيلات والمنتجات الأخرى التي قد ترتبط بالإخفاق.  </w:t>
      </w:r>
      <w:r>
        <w:rPr>
          <w:rFonts w:ascii="Calibri" w:eastAsia="Calibri" w:hAnsi="Calibri"/>
          <w:b/>
          <w:color w:val="14756A"/>
          <w:sz w:val="20"/>
        </w:rPr>
        <w:t>II.10.2</w:t>
      </w:r>
    </w:p>
    <w:p w14:paraId="03788CE6" w14:textId="77777777" w:rsidR="00CD5946" w:rsidRDefault="00000000">
      <w:pPr>
        <w:spacing w:before="20" w:after="60"/>
        <w:jc w:val="both"/>
      </w:pPr>
      <w:r>
        <w:rPr>
          <w:rFonts w:ascii="Calibri" w:eastAsia="Calibri" w:hAnsi="Calibri"/>
          <w:b/>
          <w:color w:val="0E5A50"/>
          <w:sz w:val="20"/>
        </w:rPr>
        <w:t xml:space="preserve">II.10.3  </w:t>
      </w:r>
      <w:r>
        <w:rPr>
          <w:sz w:val="20"/>
        </w:rPr>
        <w:t>Appropriate stability studies shall be conducted to confirm retest or expiry dates and storage conditions; a documented on-going stability programme shall monitor the API characteristics, and stability-indicating methods shall be used.</w:t>
      </w:r>
    </w:p>
    <w:p w14:paraId="42C206BB" w14:textId="77777777" w:rsidR="00CD5946" w:rsidRDefault="00000000">
      <w:pPr>
        <w:bidi/>
        <w:spacing w:before="20" w:after="60"/>
        <w:jc w:val="both"/>
      </w:pPr>
      <w:r>
        <w:rPr>
          <w:rFonts w:ascii="Arial" w:eastAsia="Arial" w:hAnsi="Arial"/>
          <w:sz w:val="20"/>
          <w:rtl/>
        </w:rPr>
        <w:t xml:space="preserve">تُجرى دراسات ثبات مناسبة لتأكيد تواريخ إعادة الاختبار أو الانتهاء وظروف التخزين، ويرصد برنامج ثبات مستمرّ موثَّق خصائص المادة الفعّالة باستخدام طرائق دالّة على الثبات.  </w:t>
      </w:r>
      <w:r>
        <w:rPr>
          <w:rFonts w:ascii="Calibri" w:eastAsia="Calibri" w:hAnsi="Calibri"/>
          <w:b/>
          <w:color w:val="14756A"/>
          <w:sz w:val="20"/>
        </w:rPr>
        <w:t>II.10.3</w:t>
      </w:r>
    </w:p>
    <w:p w14:paraId="28891019" w14:textId="77777777" w:rsidR="00CD5946" w:rsidRDefault="00000000">
      <w:pPr>
        <w:spacing w:before="20" w:after="60"/>
        <w:jc w:val="both"/>
      </w:pPr>
      <w:r>
        <w:rPr>
          <w:rFonts w:ascii="Calibri" w:eastAsia="Calibri" w:hAnsi="Calibri"/>
          <w:b/>
          <w:color w:val="0E5A50"/>
          <w:sz w:val="20"/>
        </w:rPr>
        <w:t xml:space="preserve">II.10.4  </w:t>
      </w:r>
      <w:r>
        <w:rPr>
          <w:sz w:val="20"/>
        </w:rPr>
        <w:t>Reserve (retention) samples of each API batch shall be retained for one year after the expiry date, or for three years after the batch is completely distributed, whichever is the longer; for APIs with retest dates, reserve samples shall be retained for three years after the batch is completely distributed (ICH Q7, §11.7). They shall be kept in packaging equivalent to or more protective than the marketed container.</w:t>
      </w:r>
    </w:p>
    <w:p w14:paraId="2D3B5298" w14:textId="77777777" w:rsidR="00CD5946" w:rsidRDefault="00000000">
      <w:pPr>
        <w:bidi/>
        <w:spacing w:before="20" w:after="60"/>
        <w:jc w:val="both"/>
      </w:pPr>
      <w:r>
        <w:rPr>
          <w:rFonts w:ascii="Arial" w:eastAsia="Arial" w:hAnsi="Arial"/>
          <w:sz w:val="20"/>
          <w:rtl/>
        </w:rPr>
        <w:t xml:space="preserve">تُحفَظ عيّنات احتياطية من كلّ تشغيلة مادة فعّالة لمدّة سنة بعد تاريخ الانتهاء أو ثلاث سنوات بعد اكتمال توزيع التشغيلة، أيّهما أطول؛ وللمواد ذات تاريخ إعادة الاختبار تُحفَظ ثلاث سنوات بعد اكتمال التوزيع، في عبوة مكافئة أو أكثر حمايةً من عبوة التسويق.  </w:t>
      </w:r>
      <w:r>
        <w:rPr>
          <w:rFonts w:ascii="Calibri" w:eastAsia="Calibri" w:hAnsi="Calibri"/>
          <w:b/>
          <w:color w:val="14756A"/>
          <w:sz w:val="20"/>
        </w:rPr>
        <w:t>II.10.4</w:t>
      </w:r>
    </w:p>
    <w:p w14:paraId="57DC5DF2" w14:textId="77777777" w:rsidR="00CD5946" w:rsidRDefault="00000000">
      <w:pPr>
        <w:pStyle w:val="Heading2"/>
      </w:pPr>
      <w:bookmarkStart w:id="109" w:name="__RefHeading___Toc9375_1729075678"/>
      <w:bookmarkEnd w:id="109"/>
      <w:r>
        <w:lastRenderedPageBreak/>
        <w:t>II.11  Validation</w:t>
      </w:r>
    </w:p>
    <w:p w14:paraId="3C0CE6C1" w14:textId="77777777" w:rsidR="00CD5946" w:rsidRDefault="00000000">
      <w:pPr>
        <w:spacing w:before="20" w:after="60"/>
        <w:jc w:val="both"/>
      </w:pPr>
      <w:r>
        <w:rPr>
          <w:rFonts w:ascii="Calibri" w:eastAsia="Calibri" w:hAnsi="Calibri"/>
          <w:b/>
          <w:color w:val="0E5A50"/>
          <w:sz w:val="20"/>
        </w:rPr>
        <w:t xml:space="preserve">II.11.1  </w:t>
      </w:r>
      <w:r>
        <w:rPr>
          <w:sz w:val="20"/>
        </w:rPr>
        <w:t>A documented validation policy and a validation master plan shall define the approach to qualification and validation, including the parameters to be controlled and the acceptance criteria.</w:t>
      </w:r>
    </w:p>
    <w:p w14:paraId="55FD4BC9" w14:textId="77777777" w:rsidR="00CD5946" w:rsidRDefault="00000000">
      <w:pPr>
        <w:bidi/>
        <w:spacing w:before="20" w:after="60"/>
        <w:jc w:val="both"/>
      </w:pPr>
      <w:r>
        <w:rPr>
          <w:rFonts w:ascii="Arial" w:eastAsia="Arial" w:hAnsi="Arial"/>
          <w:sz w:val="20"/>
          <w:rtl/>
        </w:rPr>
        <w:t xml:space="preserve">تحدِّد سياسة تحقّق موثَّقة وخطة تحقّق رئيسة منهجَ التأهيل والتحقّق، شاملةً المعالم الواجب ضبطها ومعايير القبول.  </w:t>
      </w:r>
      <w:r>
        <w:rPr>
          <w:rFonts w:ascii="Calibri" w:eastAsia="Calibri" w:hAnsi="Calibri"/>
          <w:b/>
          <w:color w:val="14756A"/>
          <w:sz w:val="20"/>
        </w:rPr>
        <w:t>II.11.1</w:t>
      </w:r>
    </w:p>
    <w:p w14:paraId="71513768" w14:textId="77777777" w:rsidR="00CD5946" w:rsidRDefault="00000000">
      <w:pPr>
        <w:spacing w:before="20" w:after="60"/>
        <w:jc w:val="both"/>
      </w:pPr>
      <w:r>
        <w:rPr>
          <w:rFonts w:ascii="Calibri" w:eastAsia="Calibri" w:hAnsi="Calibri"/>
          <w:b/>
          <w:color w:val="0E5A50"/>
          <w:sz w:val="20"/>
        </w:rPr>
        <w:t xml:space="preserve">II.11.2  </w:t>
      </w:r>
      <w:r>
        <w:rPr>
          <w:sz w:val="20"/>
        </w:rPr>
        <w:t>Critical process steps shall be validated; process validation shall demonstrate that the process, operated within established parameters, consistently yields an API meeting its predetermined specifications and quality attributes.</w:t>
      </w:r>
    </w:p>
    <w:p w14:paraId="53C7855E" w14:textId="77777777" w:rsidR="00CD5946" w:rsidRDefault="00000000">
      <w:pPr>
        <w:bidi/>
        <w:spacing w:before="20" w:after="60"/>
        <w:jc w:val="both"/>
      </w:pPr>
      <w:r>
        <w:rPr>
          <w:rFonts w:ascii="Arial" w:eastAsia="Arial" w:hAnsi="Arial"/>
          <w:sz w:val="20"/>
          <w:rtl/>
        </w:rPr>
        <w:t xml:space="preserve">تُتحقَّق خطوات العملية الحرجة، ويُثبِت التحقّق من العملية أنّها — مُشغَّلةً ضمن المعالم المعتمدة — تُنتِج باستمرار مادةً فعّالة مطابقة لمواصفاتها وخصائصها المحدَّدة سلفاً.  </w:t>
      </w:r>
      <w:r>
        <w:rPr>
          <w:rFonts w:ascii="Calibri" w:eastAsia="Calibri" w:hAnsi="Calibri"/>
          <w:b/>
          <w:color w:val="14756A"/>
          <w:sz w:val="20"/>
        </w:rPr>
        <w:t>II.11.2</w:t>
      </w:r>
    </w:p>
    <w:p w14:paraId="28545944" w14:textId="77777777" w:rsidR="00CD5946" w:rsidRDefault="00000000">
      <w:pPr>
        <w:spacing w:before="20" w:after="60"/>
        <w:jc w:val="both"/>
      </w:pPr>
      <w:r>
        <w:rPr>
          <w:rFonts w:ascii="Calibri" w:eastAsia="Calibri" w:hAnsi="Calibri"/>
          <w:b/>
          <w:color w:val="0E5A50"/>
          <w:sz w:val="20"/>
        </w:rPr>
        <w:t xml:space="preserve">II.11.3  </w:t>
      </w:r>
      <w:r>
        <w:rPr>
          <w:sz w:val="20"/>
        </w:rPr>
        <w:t>Cleaning procedures for equipment shall be validated to confirm the effective removal of residues, degradants and cleaning agents to scientifically justified, health-based limits; analytical methods used shall be validated.</w:t>
      </w:r>
    </w:p>
    <w:p w14:paraId="46F151AE" w14:textId="77777777" w:rsidR="00CD5946" w:rsidRDefault="00000000">
      <w:pPr>
        <w:bidi/>
        <w:spacing w:before="20" w:after="60"/>
        <w:jc w:val="both"/>
      </w:pPr>
      <w:r>
        <w:rPr>
          <w:rFonts w:ascii="Arial" w:eastAsia="Arial" w:hAnsi="Arial"/>
          <w:sz w:val="20"/>
          <w:rtl/>
        </w:rPr>
        <w:t xml:space="preserve">تُتحقَّق إجراءات تنظيف المعدّات لتأكيد الإزالة الفعّالة للبقايا والنواتج المتحلّلة وعوامل التنظيف إلى حدود مبرَّرة علمياً وقائمة على الصحة، وتُتحقَّق الطرائق التحليلية المستخدَمة.  </w:t>
      </w:r>
      <w:r>
        <w:rPr>
          <w:rFonts w:ascii="Calibri" w:eastAsia="Calibri" w:hAnsi="Calibri"/>
          <w:b/>
          <w:color w:val="14756A"/>
          <w:sz w:val="20"/>
        </w:rPr>
        <w:t>II.11.3</w:t>
      </w:r>
    </w:p>
    <w:p w14:paraId="32D76118" w14:textId="77777777" w:rsidR="00CD5946" w:rsidRDefault="00000000">
      <w:pPr>
        <w:pStyle w:val="Heading2"/>
      </w:pPr>
      <w:bookmarkStart w:id="110" w:name="__RefHeading___Toc9377_1729075678"/>
      <w:bookmarkEnd w:id="110"/>
      <w:r>
        <w:t>II.12  Change control</w:t>
      </w:r>
    </w:p>
    <w:p w14:paraId="0BB4AA3E" w14:textId="77777777" w:rsidR="00CD5946" w:rsidRDefault="00000000">
      <w:pPr>
        <w:spacing w:before="20" w:after="60"/>
        <w:jc w:val="both"/>
      </w:pPr>
      <w:r>
        <w:rPr>
          <w:rFonts w:ascii="Calibri" w:eastAsia="Calibri" w:hAnsi="Calibri"/>
          <w:b/>
          <w:color w:val="0E5A50"/>
          <w:sz w:val="20"/>
        </w:rPr>
        <w:t xml:space="preserve">II.12.1  </w:t>
      </w:r>
      <w:r>
        <w:rPr>
          <w:sz w:val="20"/>
        </w:rPr>
        <w:t>A formal change-control system shall evaluate all changes that may affect the production and control of the intermediate or API; proposals shall be assessed by the quality unit for regulatory and quality impact.</w:t>
      </w:r>
    </w:p>
    <w:p w14:paraId="2CF3BBCE" w14:textId="77777777" w:rsidR="00CD5946" w:rsidRDefault="00000000">
      <w:pPr>
        <w:bidi/>
        <w:spacing w:before="20" w:after="60"/>
        <w:jc w:val="both"/>
      </w:pPr>
      <w:r>
        <w:rPr>
          <w:rFonts w:ascii="Arial" w:eastAsia="Arial" w:hAnsi="Arial"/>
          <w:sz w:val="20"/>
          <w:rtl/>
        </w:rPr>
        <w:t xml:space="preserve">يُقيِّم نظام ضبط تغيير رسمي جميع التغييرات التي قد تؤثّر في إنتاج الوسيط أو المادة الفعّالة وضبطهما، وتُقيِّم وحدة الجودة المقترحات من حيث الأثر التنظيمي والجودي.  </w:t>
      </w:r>
      <w:r>
        <w:rPr>
          <w:rFonts w:ascii="Calibri" w:eastAsia="Calibri" w:hAnsi="Calibri"/>
          <w:b/>
          <w:color w:val="14756A"/>
          <w:sz w:val="20"/>
        </w:rPr>
        <w:t>II.12.1</w:t>
      </w:r>
    </w:p>
    <w:p w14:paraId="1D7898EB" w14:textId="77777777" w:rsidR="00CD5946" w:rsidRDefault="00000000">
      <w:pPr>
        <w:spacing w:before="20" w:after="60"/>
        <w:jc w:val="both"/>
      </w:pPr>
      <w:r>
        <w:rPr>
          <w:rFonts w:ascii="Calibri" w:eastAsia="Calibri" w:hAnsi="Calibri"/>
          <w:b/>
          <w:color w:val="0E5A50"/>
          <w:sz w:val="20"/>
        </w:rPr>
        <w:t xml:space="preserve">II.12.2  </w:t>
      </w:r>
      <w:r>
        <w:rPr>
          <w:sz w:val="20"/>
        </w:rPr>
        <w:t>Classification (e.g., minor/major) shall determine the testing and validation needed; affected documents shall be revised, and customers/authorities notified where the change may affect registered quality attributes.</w:t>
      </w:r>
    </w:p>
    <w:p w14:paraId="368F22FF" w14:textId="77777777" w:rsidR="00CD5946" w:rsidRDefault="00000000">
      <w:pPr>
        <w:bidi/>
        <w:spacing w:before="20" w:after="60"/>
        <w:jc w:val="both"/>
      </w:pPr>
      <w:r>
        <w:rPr>
          <w:rFonts w:ascii="Arial" w:eastAsia="Arial" w:hAnsi="Arial"/>
          <w:sz w:val="20"/>
          <w:rtl/>
        </w:rPr>
        <w:t xml:space="preserve">يحدِّد التصنيف (طفيف/كبير) الاختبارات والتحقّق اللازم، وتُنقَّح الوثائق المتأثّرة، ويُبلَّغ العملاء/الجهات عند احتمال تأثّر خصائص الجودة المسجَّلة.  </w:t>
      </w:r>
      <w:r>
        <w:rPr>
          <w:rFonts w:ascii="Calibri" w:eastAsia="Calibri" w:hAnsi="Calibri"/>
          <w:b/>
          <w:color w:val="14756A"/>
          <w:sz w:val="20"/>
        </w:rPr>
        <w:t>II.12.2</w:t>
      </w:r>
    </w:p>
    <w:p w14:paraId="2C3E703F" w14:textId="77777777" w:rsidR="00CD5946" w:rsidRDefault="00000000">
      <w:pPr>
        <w:pStyle w:val="Heading2"/>
      </w:pPr>
      <w:bookmarkStart w:id="111" w:name="__RefHeading___Toc9379_1729075678"/>
      <w:bookmarkEnd w:id="111"/>
      <w:r>
        <w:t>II.13  Rejection and re-use of materials</w:t>
      </w:r>
    </w:p>
    <w:p w14:paraId="7264F208" w14:textId="77777777" w:rsidR="00CD5946" w:rsidRDefault="00000000">
      <w:pPr>
        <w:spacing w:before="20" w:after="60"/>
        <w:jc w:val="both"/>
      </w:pPr>
      <w:r>
        <w:rPr>
          <w:rFonts w:ascii="Calibri" w:eastAsia="Calibri" w:hAnsi="Calibri"/>
          <w:b/>
          <w:color w:val="0E5A50"/>
          <w:sz w:val="20"/>
        </w:rPr>
        <w:t xml:space="preserve">II.13.1  </w:t>
      </w:r>
      <w:r>
        <w:rPr>
          <w:sz w:val="20"/>
        </w:rPr>
        <w:t>Intermediates and APIs failing to meet specifications shall be identified, quarantined and may be reprocessed or reworked; reprocessing shall be evaluated to ensure quality is not adversely affected, and reworking shall be supported by an investigation and, where appropriate, validation.</w:t>
      </w:r>
    </w:p>
    <w:p w14:paraId="25A6123F" w14:textId="77777777" w:rsidR="00CD5946" w:rsidRDefault="00000000">
      <w:pPr>
        <w:bidi/>
        <w:spacing w:before="20" w:after="60"/>
        <w:jc w:val="both"/>
      </w:pPr>
      <w:r>
        <w:rPr>
          <w:rFonts w:ascii="Arial" w:eastAsia="Arial" w:hAnsi="Arial"/>
          <w:sz w:val="20"/>
          <w:rtl/>
        </w:rPr>
        <w:t xml:space="preserve">تُعرَّف الوسائط والمواد الفعّالة غير المطابقة وتُحجَر، ويجوز إعادة معالجتها أو إعادة تشغيلها، وتُقيَّم إعادة المعالجة لضمان عدم تأثّر الجودة، وتُدعَم إعادة التشغيل بتحقيق وبالتحقّق عند اللزوم.  </w:t>
      </w:r>
      <w:r>
        <w:rPr>
          <w:rFonts w:ascii="Calibri" w:eastAsia="Calibri" w:hAnsi="Calibri"/>
          <w:b/>
          <w:color w:val="14756A"/>
          <w:sz w:val="20"/>
        </w:rPr>
        <w:t>II.13.1</w:t>
      </w:r>
    </w:p>
    <w:p w14:paraId="6F16BFBE" w14:textId="77777777" w:rsidR="00CD5946" w:rsidRDefault="00000000">
      <w:pPr>
        <w:spacing w:before="20" w:after="60"/>
        <w:jc w:val="both"/>
      </w:pPr>
      <w:r>
        <w:rPr>
          <w:rFonts w:ascii="Calibri" w:eastAsia="Calibri" w:hAnsi="Calibri"/>
          <w:b/>
          <w:color w:val="0E5A50"/>
          <w:sz w:val="20"/>
        </w:rPr>
        <w:t xml:space="preserve">II.13.2  </w:t>
      </w:r>
      <w:r>
        <w:rPr>
          <w:sz w:val="20"/>
        </w:rPr>
        <w:t>Recovery of materials (e.g., solvents, mother liquors) shall be performed under approved procedures and the recovered material shall be shown to be suitable for its intended use. Recovered solvents and materials shall be specifically assessed for the risk of nitrosamine formation or carry-over, and the nitrosamine risk assessment kept current (see Chapter 5.4.3 and ICH M7(R2)).</w:t>
      </w:r>
    </w:p>
    <w:p w14:paraId="56C6D974" w14:textId="77777777" w:rsidR="00CD5946" w:rsidRDefault="00000000">
      <w:pPr>
        <w:bidi/>
        <w:spacing w:before="20" w:after="60"/>
        <w:jc w:val="both"/>
      </w:pPr>
      <w:r>
        <w:rPr>
          <w:rFonts w:ascii="Arial" w:eastAsia="Arial" w:hAnsi="Arial"/>
          <w:sz w:val="20"/>
          <w:rtl/>
        </w:rPr>
        <w:t xml:space="preserve">يُجرى استرداد المواد (كالمذيبات والسوائل الأمّ) وفق إجراءات معتمدة، ويُثبَت أنّ المادة المستردّة ملائمة لغرضها. وتُقيَّم المذيبات المستردّة تحديداً لخطر تكوّن النتروزامينات أو انتقالها، ويُحدَّث تقييم المخاطر باستمرار.  </w:t>
      </w:r>
      <w:r>
        <w:rPr>
          <w:rFonts w:ascii="Calibri" w:eastAsia="Calibri" w:hAnsi="Calibri"/>
          <w:b/>
          <w:color w:val="14756A"/>
          <w:sz w:val="20"/>
        </w:rPr>
        <w:t>II.13.2</w:t>
      </w:r>
    </w:p>
    <w:p w14:paraId="259113AE" w14:textId="77777777" w:rsidR="00CD5946" w:rsidRDefault="00000000">
      <w:pPr>
        <w:pStyle w:val="Heading2"/>
      </w:pPr>
      <w:bookmarkStart w:id="112" w:name="__RefHeading___Toc9381_1729075678"/>
      <w:bookmarkEnd w:id="112"/>
      <w:r>
        <w:t>II.14  Complaints and recalls</w:t>
      </w:r>
    </w:p>
    <w:p w14:paraId="49ACBA33" w14:textId="77777777" w:rsidR="00CD5946" w:rsidRDefault="00000000">
      <w:pPr>
        <w:spacing w:before="20" w:after="60"/>
        <w:jc w:val="both"/>
      </w:pPr>
      <w:r>
        <w:rPr>
          <w:rFonts w:ascii="Calibri" w:eastAsia="Calibri" w:hAnsi="Calibri"/>
          <w:b/>
          <w:color w:val="0E5A50"/>
          <w:sz w:val="20"/>
        </w:rPr>
        <w:t xml:space="preserve">II.14.1  </w:t>
      </w:r>
      <w:r>
        <w:rPr>
          <w:sz w:val="20"/>
        </w:rPr>
        <w:t>Records of complaints relating to API quality shall be maintained and investigated, including the response to the complainant and any corrective action; recall procedures shall be in place and capable of being initiated promptly.</w:t>
      </w:r>
    </w:p>
    <w:p w14:paraId="02701504" w14:textId="77777777" w:rsidR="00CD5946" w:rsidRDefault="00000000">
      <w:pPr>
        <w:bidi/>
        <w:spacing w:before="20" w:after="60"/>
        <w:jc w:val="both"/>
      </w:pPr>
      <w:r>
        <w:rPr>
          <w:rFonts w:ascii="Arial" w:eastAsia="Arial" w:hAnsi="Arial"/>
          <w:sz w:val="20"/>
          <w:rtl/>
        </w:rPr>
        <w:t xml:space="preserve">تُحفَظ سجلّات الشكاوى المتعلّقة بجودة المادة الفعّالة ويُحقَّق فيها، شاملةً الردّ على المشتكي وأيّ إجراء تصحيحي، وتوضَع إجراءات استدعاء قابلة للتفعيل الفوري.  </w:t>
      </w:r>
      <w:r>
        <w:rPr>
          <w:rFonts w:ascii="Calibri" w:eastAsia="Calibri" w:hAnsi="Calibri"/>
          <w:b/>
          <w:color w:val="14756A"/>
          <w:sz w:val="20"/>
        </w:rPr>
        <w:t>II.14.1</w:t>
      </w:r>
    </w:p>
    <w:p w14:paraId="20E2EFCE" w14:textId="77777777" w:rsidR="00CD5946" w:rsidRDefault="00000000">
      <w:pPr>
        <w:pStyle w:val="Heading2"/>
      </w:pPr>
      <w:bookmarkStart w:id="113" w:name="__RefHeading___Toc9383_1729075678"/>
      <w:bookmarkEnd w:id="113"/>
      <w:r>
        <w:t>II.15  Contract manufacturers and laboratories</w:t>
      </w:r>
    </w:p>
    <w:p w14:paraId="3D1671E7" w14:textId="77777777" w:rsidR="00CD5946" w:rsidRDefault="00000000">
      <w:pPr>
        <w:spacing w:before="20" w:after="60"/>
        <w:jc w:val="both"/>
      </w:pPr>
      <w:r>
        <w:rPr>
          <w:rFonts w:ascii="Calibri" w:eastAsia="Calibri" w:hAnsi="Calibri"/>
          <w:b/>
          <w:color w:val="0E5A50"/>
          <w:sz w:val="20"/>
        </w:rPr>
        <w:lastRenderedPageBreak/>
        <w:t xml:space="preserve">II.15.1  </w:t>
      </w:r>
      <w:r>
        <w:rPr>
          <w:sz w:val="20"/>
        </w:rPr>
        <w:t>Contract manufacturers and laboratories shall be evaluated and approved, and a written, mutually agreed contract shall define GMP responsibilities, including the quality measures each party shall take; the contract giver remains responsible for assessing the legality and competence of the contract acceptor.</w:t>
      </w:r>
    </w:p>
    <w:p w14:paraId="211C8103" w14:textId="77777777" w:rsidR="00CD5946" w:rsidRDefault="00000000">
      <w:pPr>
        <w:bidi/>
        <w:spacing w:before="20" w:after="60"/>
        <w:jc w:val="both"/>
      </w:pPr>
      <w:r>
        <w:rPr>
          <w:rFonts w:ascii="Arial" w:eastAsia="Arial" w:hAnsi="Arial"/>
          <w:sz w:val="20"/>
          <w:rtl/>
        </w:rPr>
        <w:t xml:space="preserve">يُقيَّم الصانعون والمختبرات المتعاقَدون ويُعتمَدون، ويحدِّد عقد مكتوب متّفق عليه مسؤوليات الممارسات الجيدة وتدابير الجودة لكلّ طرف، ويظلّ مانح العقد مسؤولاً عن تقييم مشروعية وكفاءة متلقّي العقد.  </w:t>
      </w:r>
      <w:r>
        <w:rPr>
          <w:rFonts w:ascii="Calibri" w:eastAsia="Calibri" w:hAnsi="Calibri"/>
          <w:b/>
          <w:color w:val="14756A"/>
          <w:sz w:val="20"/>
        </w:rPr>
        <w:t>II.15.1</w:t>
      </w:r>
    </w:p>
    <w:p w14:paraId="5D8E1E9D" w14:textId="77777777" w:rsidR="00CD5946" w:rsidRDefault="00000000">
      <w:pPr>
        <w:pStyle w:val="Heading2"/>
      </w:pPr>
      <w:bookmarkStart w:id="114" w:name="__RefHeading___Toc9385_1729075678"/>
      <w:bookmarkEnd w:id="114"/>
      <w:r>
        <w:t>II.16  Agents, brokers, traders, distributors, repackers and relabellers</w:t>
      </w:r>
    </w:p>
    <w:p w14:paraId="303954AA" w14:textId="77777777" w:rsidR="00CD5946" w:rsidRDefault="00000000">
      <w:pPr>
        <w:spacing w:before="20" w:after="60"/>
        <w:jc w:val="both"/>
      </w:pPr>
      <w:r>
        <w:rPr>
          <w:rFonts w:ascii="Calibri" w:eastAsia="Calibri" w:hAnsi="Calibri"/>
          <w:b/>
          <w:color w:val="0E5A50"/>
          <w:sz w:val="20"/>
        </w:rPr>
        <w:t xml:space="preserve">II.16.1  </w:t>
      </w:r>
      <w:r>
        <w:rPr>
          <w:sz w:val="20"/>
        </w:rPr>
        <w:t>Agents, brokers, traders, distributors, repackers and relabellers shall comply with the applicable provisions of this Part; they shall maintain full traceability of APIs and intermediates, retain the original manufacturer's name and batch number, and transfer quality and regulatory information including the original certificate of analysis.</w:t>
      </w:r>
    </w:p>
    <w:p w14:paraId="2271B941" w14:textId="77777777" w:rsidR="00CD5946" w:rsidRDefault="00000000">
      <w:pPr>
        <w:bidi/>
        <w:spacing w:before="20" w:after="60"/>
        <w:jc w:val="both"/>
      </w:pPr>
      <w:r>
        <w:rPr>
          <w:rFonts w:ascii="Arial" w:eastAsia="Arial" w:hAnsi="Arial"/>
          <w:sz w:val="20"/>
          <w:rtl/>
        </w:rPr>
        <w:t xml:space="preserve">يلتزم الوكلاء والوسطاء والتجّار والموزّعون ومعيدو التعبئة والوسم بأحكام هذا الجزء المنطبقة، ويحفظون التتبّع الكامل للمواد الفعّالة والوسائط، ويُبقون اسم الصانع الأصلي ورقم التشغيلة، وينقلون معلومات الجودة والتنظيم بما فيها شهادة التحليل الأصلية.  </w:t>
      </w:r>
      <w:r>
        <w:rPr>
          <w:rFonts w:ascii="Calibri" w:eastAsia="Calibri" w:hAnsi="Calibri"/>
          <w:b/>
          <w:color w:val="14756A"/>
          <w:sz w:val="20"/>
        </w:rPr>
        <w:t>II.16.1</w:t>
      </w:r>
    </w:p>
    <w:p w14:paraId="7FDCAEA1" w14:textId="77777777" w:rsidR="00CD5946" w:rsidRDefault="00000000">
      <w:pPr>
        <w:spacing w:before="20" w:after="60"/>
        <w:jc w:val="both"/>
      </w:pPr>
      <w:r>
        <w:rPr>
          <w:rFonts w:ascii="Calibri" w:eastAsia="Calibri" w:hAnsi="Calibri"/>
          <w:b/>
          <w:color w:val="0E5A50"/>
          <w:sz w:val="20"/>
        </w:rPr>
        <w:t xml:space="preserve">II.16.2  </w:t>
      </w:r>
      <w:r>
        <w:rPr>
          <w:sz w:val="20"/>
        </w:rPr>
        <w:t>Repackaging, relabelling and holding of APIs shall be performed under appropriate GMP controls to prevent mix-ups and loss of identity or purity; stability data shall support any new retest or expiry date assigned.</w:t>
      </w:r>
    </w:p>
    <w:p w14:paraId="50244349" w14:textId="77777777" w:rsidR="00CD5946" w:rsidRDefault="00000000">
      <w:pPr>
        <w:bidi/>
        <w:spacing w:before="20" w:after="60"/>
        <w:jc w:val="both"/>
      </w:pPr>
      <w:r>
        <w:rPr>
          <w:rFonts w:ascii="Arial" w:eastAsia="Arial" w:hAnsi="Arial"/>
          <w:sz w:val="20"/>
          <w:rtl/>
        </w:rPr>
        <w:t xml:space="preserve">تُجرى إعادة التعبئة والوسم وحفظ المواد الفعّالة تحت ضوابط الممارسات الجيدة لمنع الاختلاط وفقدان الهوية أو النقاء، وتدعم بيانات الثبات أيّ تاريخ إعادة اختبار أو انتهاء جديد.  </w:t>
      </w:r>
      <w:r>
        <w:rPr>
          <w:rFonts w:ascii="Calibri" w:eastAsia="Calibri" w:hAnsi="Calibri"/>
          <w:b/>
          <w:color w:val="14756A"/>
          <w:sz w:val="20"/>
        </w:rPr>
        <w:t>II.16.2</w:t>
      </w:r>
    </w:p>
    <w:p w14:paraId="1A361778" w14:textId="77777777" w:rsidR="00CD5946" w:rsidRDefault="00000000">
      <w:pPr>
        <w:pStyle w:val="Heading2"/>
      </w:pPr>
      <w:bookmarkStart w:id="115" w:name="__RefHeading___Toc9387_1729075678"/>
      <w:bookmarkEnd w:id="115"/>
      <w:r>
        <w:t>II.17  APIs by cell culture / fermentation and APIs for clinical trials</w:t>
      </w:r>
    </w:p>
    <w:p w14:paraId="282F292B" w14:textId="77777777" w:rsidR="00CD5946" w:rsidRDefault="00000000">
      <w:pPr>
        <w:spacing w:before="20" w:after="60"/>
        <w:jc w:val="both"/>
      </w:pPr>
      <w:r>
        <w:rPr>
          <w:rFonts w:ascii="Calibri" w:eastAsia="Calibri" w:hAnsi="Calibri"/>
          <w:b/>
          <w:color w:val="0E5A50"/>
          <w:sz w:val="20"/>
        </w:rPr>
        <w:t xml:space="preserve">II.17.1  </w:t>
      </w:r>
      <w:r>
        <w:rPr>
          <w:sz w:val="20"/>
        </w:rPr>
        <w:t>For APIs manufactured by cell culture or fermentation, additional controls shall address cell banks, prevention of contamination, in-process monitoring of critical parameters, and the increased risk from adventitious agents; classical and recombinant processes shall be controlled accordingly.</w:t>
      </w:r>
    </w:p>
    <w:p w14:paraId="344B108B" w14:textId="77777777" w:rsidR="00CD5946" w:rsidRDefault="00000000">
      <w:pPr>
        <w:bidi/>
        <w:spacing w:before="20" w:after="60"/>
        <w:jc w:val="both"/>
      </w:pPr>
      <w:r>
        <w:rPr>
          <w:rFonts w:ascii="Arial" w:eastAsia="Arial" w:hAnsi="Arial"/>
          <w:sz w:val="20"/>
          <w:rtl/>
        </w:rPr>
        <w:t xml:space="preserve">للمواد الفعّالة المُنتجة بزراعة الخلايا أو التخمير، تُضاف ضوابط لبنوك الخلايا ومنع التلوّث ومراقبة المعالم الحرجة أثناء التشغيل والخطر المتزايد من العوامل العَرَضية، وتُضبَط العمليات التقليدية والمأشوبة تبعاً لذلك.  </w:t>
      </w:r>
      <w:r>
        <w:rPr>
          <w:rFonts w:ascii="Calibri" w:eastAsia="Calibri" w:hAnsi="Calibri"/>
          <w:b/>
          <w:color w:val="14756A"/>
          <w:sz w:val="20"/>
        </w:rPr>
        <w:t>II.17.1</w:t>
      </w:r>
    </w:p>
    <w:p w14:paraId="3EC667A2" w14:textId="77777777" w:rsidR="00CD5946" w:rsidRDefault="00000000">
      <w:pPr>
        <w:spacing w:before="20" w:after="60"/>
        <w:jc w:val="both"/>
      </w:pPr>
      <w:r>
        <w:rPr>
          <w:rFonts w:ascii="Calibri" w:eastAsia="Calibri" w:hAnsi="Calibri"/>
          <w:b/>
          <w:color w:val="0E5A50"/>
          <w:sz w:val="20"/>
        </w:rPr>
        <w:t xml:space="preserve">II.17.2  </w:t>
      </w:r>
      <w:r>
        <w:rPr>
          <w:sz w:val="20"/>
        </w:rPr>
        <w:t>For APIs used in clinical trials (investigational use), GMP shall be applied with appropriate flexibility consistent with the stage of development, while ensuring product quality, traceability and the safety of trial subjects (cross-reference Annex 13).</w:t>
      </w:r>
    </w:p>
    <w:p w14:paraId="5C828219" w14:textId="77777777" w:rsidR="00CD5946" w:rsidRDefault="00000000">
      <w:pPr>
        <w:bidi/>
        <w:spacing w:before="20" w:after="60"/>
        <w:jc w:val="both"/>
      </w:pPr>
      <w:r>
        <w:rPr>
          <w:rFonts w:ascii="Arial" w:eastAsia="Arial" w:hAnsi="Arial"/>
          <w:sz w:val="20"/>
          <w:rtl/>
        </w:rPr>
        <w:t xml:space="preserve">للمواد الفعّالة المستخدَمة في التجارب السريرية (الاستخدام البحثي)، تُطبَّق الممارسات الجيدة بمرونة مناسبة تتّسق مع مرحلة التطوير، مع ضمان جودة المنتج وتتبّعه وسلامة المتطوّعين (راجع الملحق </w:t>
      </w:r>
      <w:r>
        <w:rPr>
          <w:rFonts w:ascii="Arial" w:eastAsia="Arial" w:hAnsi="Arial"/>
          <w:sz w:val="20"/>
        </w:rPr>
        <w:t>13</w:t>
      </w:r>
      <w:r>
        <w:rPr>
          <w:rFonts w:ascii="Arial" w:eastAsia="Arial" w:hAnsi="Arial"/>
          <w:sz w:val="20"/>
          <w:rtl/>
        </w:rPr>
        <w:t xml:space="preserve">).  </w:t>
      </w:r>
      <w:r>
        <w:rPr>
          <w:rFonts w:ascii="Calibri" w:eastAsia="Calibri" w:hAnsi="Calibri"/>
          <w:b/>
          <w:color w:val="14756A"/>
          <w:sz w:val="20"/>
        </w:rPr>
        <w:t>II.17.2</w:t>
      </w:r>
    </w:p>
    <w:p w14:paraId="15C5E787" w14:textId="77777777" w:rsidR="00CD5946" w:rsidRDefault="00000000">
      <w:pPr>
        <w:pStyle w:val="Heading1"/>
      </w:pPr>
      <w:bookmarkStart w:id="116" w:name="__RefHeading___Toc9389_1729075678"/>
      <w:bookmarkEnd w:id="116"/>
      <w:r>
        <w:t>Part III — GMP-related Documents</w:t>
      </w:r>
    </w:p>
    <w:p w14:paraId="644FF5D7" w14:textId="77777777" w:rsidR="00CD5946" w:rsidRDefault="00000000">
      <w:pPr>
        <w:pBdr>
          <w:left w:val="single" w:sz="16" w:space="8" w:color="C8A24B"/>
        </w:pBdr>
        <w:spacing w:before="60" w:after="140"/>
        <w:ind w:left="160"/>
      </w:pPr>
      <w:r>
        <w:rPr>
          <w:rFonts w:ascii="Arial" w:eastAsia="Arial" w:hAnsi="Arial"/>
          <w:b/>
          <w:bCs/>
          <w:color w:val="B08C37"/>
        </w:rPr>
        <w:t xml:space="preserve">Principle.  </w:t>
      </w:r>
      <w:r>
        <w:rPr>
          <w:rFonts w:ascii="Arial" w:eastAsia="Arial" w:hAnsi="Arial"/>
          <w:color w:val="1A1A1A"/>
        </w:rPr>
        <w:t>Part III brings together the supporting documents and reference standards that underpin the Pharmaceutical Quality System: the Site Master File; Quality Risk Management (ICH Q9); the Pharmaceutical Quality System (ICH Q10); and harmonised batch-certification content to support reliance and mutual recognition. These documents are clarifying and supportive; they do not establish new GMP requirements beyond Parts I and II and the Annexes.</w:t>
      </w:r>
    </w:p>
    <w:p w14:paraId="6A97241A" w14:textId="77777777" w:rsidR="00CD5946" w:rsidRDefault="00000000">
      <w:pPr>
        <w:spacing w:before="20" w:after="140"/>
      </w:pPr>
      <w:r>
        <w:rPr>
          <w:rFonts w:ascii="Arial" w:eastAsia="Arial" w:hAnsi="Arial"/>
          <w:b/>
          <w:bCs/>
          <w:color w:val="B08C37"/>
          <w:sz w:val="17"/>
          <w:szCs w:val="17"/>
        </w:rPr>
        <w:t xml:space="preserve">Harmonised with: </w:t>
      </w:r>
      <w:r>
        <w:rPr>
          <w:rFonts w:ascii="Arial" w:eastAsia="Arial" w:hAnsi="Arial"/>
          <w:i/>
          <w:iCs/>
          <w:color w:val="5A5A5A"/>
          <w:sz w:val="17"/>
          <w:szCs w:val="17"/>
        </w:rPr>
        <w:t>EU GMP Part III · ICH Q9(R1) · ICH Q10 · PIC/S (PE 008 Site Master File; MRA batch certificate) · SFDA GMP Guide v4.4</w:t>
      </w:r>
    </w:p>
    <w:p w14:paraId="4350E1F8" w14:textId="77777777" w:rsidR="00CD5946" w:rsidRDefault="00000000">
      <w:pPr>
        <w:pStyle w:val="Heading2"/>
      </w:pPr>
      <w:bookmarkStart w:id="117" w:name="__RefHeading___Toc9391_1729075678"/>
      <w:bookmarkEnd w:id="117"/>
      <w:r>
        <w:t>III.1  Site Master File (SMF)</w:t>
      </w:r>
    </w:p>
    <w:p w14:paraId="10F9CFD9" w14:textId="77777777" w:rsidR="00CD5946" w:rsidRDefault="00000000">
      <w:pPr>
        <w:spacing w:after="90"/>
        <w:ind w:left="300" w:hanging="300"/>
      </w:pPr>
      <w:r>
        <w:rPr>
          <w:rFonts w:ascii="Arial" w:eastAsia="Arial" w:hAnsi="Arial"/>
          <w:b/>
          <w:bCs/>
          <w:color w:val="15512F"/>
        </w:rPr>
        <w:t xml:space="preserve">III.1.1  </w:t>
      </w:r>
      <w:r>
        <w:rPr>
          <w:rFonts w:ascii="Arial" w:eastAsia="Arial" w:hAnsi="Arial"/>
          <w:color w:val="1A1A1A"/>
        </w:rPr>
        <w:t xml:space="preserve">The manufacturer shall prepare and maintain a Site Master File describing the GMP-related activities at the site. It shall be concise and, where possible, presented with layout plans and flow charts. It shall contain: general information on the manufacturer (contact, authorisations, manufacturing activities, other activities on site); the Pharmaceutical Quality System (description, release responsibilities of the Authorised/Qualified Person, supplier and contractor management, </w:t>
        <w:lastRenderedPageBreak/>
        <w:t>QRM, product quality reviews); personnel (organisation chart, key numbers); premises and equipment (areas, nature of construction, brief description of HVAC, water and other utilities); documentation; production (product types, process validation, material handling, cross-contamination control); quality control; distribution, complaints, product defects and recalls; and self-inspections. The SMF shall be kept current.</w:t>
      </w:r>
    </w:p>
    <w:p w14:paraId="5AA768C2" w14:textId="77777777" w:rsidR="00CD5946" w:rsidRDefault="00000000">
      <w:pPr>
        <w:pStyle w:val="Heading2"/>
      </w:pPr>
      <w:bookmarkStart w:id="118" w:name="__RefHeading___Toc9393_1729075678"/>
      <w:bookmarkEnd w:id="118"/>
      <w:r>
        <w:t>III.2  Quality Risk Management (ICH Q9)</w:t>
      </w:r>
    </w:p>
    <w:p w14:paraId="636ACBC4" w14:textId="77777777" w:rsidR="00CD5946" w:rsidRDefault="00000000">
      <w:pPr>
        <w:spacing w:after="90"/>
        <w:ind w:left="300" w:hanging="300"/>
      </w:pPr>
      <w:r>
        <w:rPr>
          <w:rFonts w:ascii="Arial" w:eastAsia="Arial" w:hAnsi="Arial"/>
          <w:b/>
          <w:bCs/>
          <w:color w:val="15512F"/>
        </w:rPr>
        <w:t xml:space="preserve">III.2.1  </w:t>
      </w:r>
      <w:r>
        <w:rPr>
          <w:rFonts w:ascii="Arial" w:eastAsia="Arial" w:hAnsi="Arial"/>
          <w:color w:val="1A1A1A"/>
        </w:rPr>
        <w:t>Quality Risk Management is a systematic process for the assessment, control, communication and review of risks to quality across the lifecycle, based on scientific knowledge and ultimately linked to protection of the patient. The level of effort, formality and documentation of the process shall be commensurate with the level of risk.</w:t>
      </w:r>
    </w:p>
    <w:p w14:paraId="1318109F" w14:textId="77777777" w:rsidR="00CD5946" w:rsidRDefault="00000000">
      <w:pPr>
        <w:spacing w:after="90"/>
        <w:ind w:left="300" w:hanging="300"/>
      </w:pPr>
      <w:r>
        <w:rPr>
          <w:rFonts w:ascii="Arial" w:eastAsia="Arial" w:hAnsi="Arial"/>
          <w:b/>
          <w:bCs/>
          <w:color w:val="15512F"/>
        </w:rPr>
        <w:t xml:space="preserve">III.2.2  </w:t>
      </w:r>
      <w:r>
        <w:rPr>
          <w:rFonts w:ascii="Arial" w:eastAsia="Arial" w:hAnsi="Arial"/>
          <w:color w:val="1A1A1A"/>
        </w:rPr>
        <w:t>A typical QRM process comprises: risk assessment (hazard identification, risk analysis and risk evaluation against defined risk criteria); risk control (risk reduction and acceptance); risk communication; and risk review. Subjectivity and the impact of uncertainty and decision-making bias shall be recognised and managed (ICH Q9(R1)).</w:t>
      </w:r>
    </w:p>
    <w:p w14:paraId="1D426540" w14:textId="77777777" w:rsidR="00CD5946" w:rsidRDefault="00000000">
      <w:pPr>
        <w:spacing w:after="90"/>
        <w:ind w:left="300" w:hanging="300"/>
      </w:pPr>
      <w:r>
        <w:rPr>
          <w:rFonts w:ascii="Arial" w:eastAsia="Arial" w:hAnsi="Arial"/>
          <w:b/>
          <w:bCs/>
          <w:color w:val="15512F"/>
        </w:rPr>
        <w:t xml:space="preserve">III.2.3  </w:t>
      </w:r>
      <w:r>
        <w:rPr>
          <w:rFonts w:ascii="Arial" w:eastAsia="Arial" w:hAnsi="Arial"/>
          <w:color w:val="1A1A1A"/>
        </w:rPr>
        <w:t>Recognised tools may be used as appropriate, for example: failure mode and effects analysis (FMEA/FMECA), fault-tree analysis (FTA), hazard analysis and critical control points (HACCP), hazard operability analysis (HAZOP), preliminary hazard analysis (PHA) and supporting statistical tools. QRM shall be applied throughout this guideline, including to the Contamination Control Strategy, qualification and validation, cross-contamination control, supplier and outsourcing controls, and the classification of deviations, complaints and changes.</w:t>
      </w:r>
    </w:p>
    <w:p w14:paraId="173318A7" w14:textId="77777777" w:rsidR="00CD5946" w:rsidRDefault="00000000">
      <w:pPr>
        <w:pStyle w:val="Heading2"/>
      </w:pPr>
      <w:bookmarkStart w:id="119" w:name="__RefHeading___Toc9395_1729075678"/>
      <w:bookmarkEnd w:id="119"/>
      <w:r>
        <w:t>III.3  Pharmaceutical Quality System (ICH Q10)</w:t>
      </w:r>
    </w:p>
    <w:p w14:paraId="1E456E53" w14:textId="77777777" w:rsidR="00CD5946" w:rsidRDefault="00000000">
      <w:pPr>
        <w:spacing w:after="90"/>
        <w:ind w:left="300" w:hanging="300"/>
      </w:pPr>
      <w:r>
        <w:rPr>
          <w:rFonts w:ascii="Arial" w:eastAsia="Arial" w:hAnsi="Arial"/>
          <w:b/>
          <w:bCs/>
          <w:color w:val="15512F"/>
        </w:rPr>
        <w:t xml:space="preserve">III.3.1  </w:t>
      </w:r>
      <w:r>
        <w:rPr>
          <w:rFonts w:ascii="Arial" w:eastAsia="Arial" w:hAnsi="Arial"/>
          <w:color w:val="1A1A1A"/>
        </w:rPr>
        <w:t>ICH Q10 describes a model for an effective Pharmaceutical Quality System based on ISO quality concepts, incorporating GMP and complementing ICH Q8 and Q9. It applies across the product lifecycle: pharmaceutical development, technology transfer, commercial manufacturing and product discontinuation. The objectives are to achieve product realisation, establish and maintain a state of control, and facilitate continual improvement.</w:t>
      </w:r>
    </w:p>
    <w:p w14:paraId="68A62DB5" w14:textId="77777777" w:rsidR="00CD5946" w:rsidRDefault="00000000">
      <w:pPr>
        <w:spacing w:after="90"/>
        <w:ind w:left="300" w:hanging="300"/>
      </w:pPr>
      <w:r>
        <w:rPr>
          <w:rFonts w:ascii="Arial" w:eastAsia="Arial" w:hAnsi="Arial"/>
          <w:b/>
          <w:bCs/>
          <w:color w:val="15512F"/>
        </w:rPr>
        <w:t xml:space="preserve">III.3.2  </w:t>
      </w:r>
      <w:r>
        <w:rPr>
          <w:rFonts w:ascii="Arial" w:eastAsia="Arial" w:hAnsi="Arial"/>
          <w:color w:val="1A1A1A"/>
        </w:rPr>
        <w:t>The model comprises management responsibility (leadership, quality policy and objectives, resource management, internal communication, management review, and the management of outsourced activities and purchased materials and of changes in product ownership); the four PQS elements — the process performance and product quality monitoring system, the corrective and preventive action (CAPA) system, the change-management system, and management review of process performance and product quality; and the enablers of knowledge management and quality risk management. Continual improvement of the PQS itself shall be pursued.</w:t>
      </w:r>
    </w:p>
    <w:p w14:paraId="4A346480" w14:textId="77777777" w:rsidR="00CD5946" w:rsidRDefault="00000000">
      <w:pPr>
        <w:pStyle w:val="Heading2"/>
      </w:pPr>
      <w:bookmarkStart w:id="120" w:name="__RefHeading___Toc9397_1729075678"/>
      <w:bookmarkEnd w:id="120"/>
      <w:r>
        <w:t>III.4  Batch certification content (reliance and mutual recognition)</w:t>
      </w:r>
    </w:p>
    <w:p w14:paraId="570063FB" w14:textId="77777777" w:rsidR="00CD5946" w:rsidRDefault="00000000">
      <w:pPr>
        <w:spacing w:after="90"/>
        <w:ind w:left="300" w:hanging="300"/>
      </w:pPr>
      <w:r>
        <w:rPr>
          <w:rFonts w:ascii="Arial" w:eastAsia="Arial" w:hAnsi="Arial"/>
          <w:b/>
          <w:bCs/>
          <w:color w:val="15512F"/>
        </w:rPr>
        <w:t xml:space="preserve">III.4.1  </w:t>
      </w:r>
      <w:r>
        <w:rPr>
          <w:rFonts w:ascii="Arial" w:eastAsia="Arial" w:hAnsi="Arial"/>
          <w:color w:val="1A1A1A"/>
        </w:rPr>
        <w:t>To support reliance and work-sharing among Arab and PIC/S authorities, batch certificates issued for the purpose of confirming GMP-compliant manufacture and control should follow a harmonised content, including: the name and dosage form of the product; the manufacturer(s) and site(s) of manufacture and of batch certification; the batch number; the marketing-authorisation or product reference; a statement that the batch has been manufactured and checked in accordance with GMP and the relevant authorisation; the quantity certified; and the name, function, signature and date of the certifying Authorised/Qualified Person. A harmonised template will be provided as an appendix on adoption.</w:t>
      </w:r>
    </w:p>
    <w:p w14:paraId="45087A16" w14:textId="77777777" w:rsidR="00CD5946" w:rsidRDefault="00000000">
      <w:pPr>
        <w:spacing w:after="40" w:line="266" w:lineRule="auto"/>
        <w:ind w:left="300" w:hanging="300"/>
      </w:pPr>
      <w:r>
        <w:rPr>
          <w:rFonts w:ascii="Arial" w:eastAsia="Arial" w:hAnsi="Arial"/>
          <w:b/>
          <w:bCs/>
          <w:color w:val="15512F"/>
        </w:rPr>
        <w:t xml:space="preserve">III.4.2  </w:t>
      </w:r>
      <w:r>
        <w:rPr>
          <w:rFonts w:ascii="Arial" w:eastAsia="Arial" w:hAnsi="Arial"/>
          <w:color w:val="333333"/>
        </w:rPr>
        <w:t xml:space="preserve">Handling of conflicting national requirements.  Where the registered requirements of two adopting authorities differ — for example divergent registered storage conditions, shelf-life or a </w:t>
        <w:lastRenderedPageBreak/>
        <w:t>national re-testing requirement — reliance on batch certification is not thereby voided.  The certifying Authorised/Qualified Person certifies against the requirements of the marketing authorisation in force in the destination market and records in the batch certificate any destination-specific condition met.  The relying authority retains the right to apply its own additional national requirement as residual scrutiny (Reliance Framework, R.5) without re-performing the certified manufacture and control.  A divergence in a national requirement is managed as an additional, destination-specific condition — not as a ground for rejecting an otherwise valid certificate.</w:t>
      </w:r>
    </w:p>
    <w:p w14:paraId="71407907" w14:textId="77777777" w:rsidR="00CD5946" w:rsidRDefault="00000000">
      <w:pPr>
        <w:bidi/>
        <w:spacing w:after="150" w:line="300" w:lineRule="auto"/>
        <w:ind w:right="300" w:hanging="300"/>
        <w:jc w:val="right"/>
      </w:pPr>
      <w:r>
        <w:rPr>
          <w:rFonts w:ascii="Arial" w:eastAsia="Arial" w:hAnsi="Arial"/>
          <w:color w:val="333333"/>
          <w:sz w:val="20"/>
          <w:szCs w:val="20"/>
          <w:rtl/>
        </w:rPr>
        <w:t>معالجة المتطلّبات الوطنية المتعارضة. حيثما اختلفت المتطلّبات المسجّلة لجهتين متبنّيتين — مثل اختلاف ظروف التخزين المسجّلة أو مدّة الصلاحية أو وجود متطلّب وطني لإعادة الفحص — فإنّ الاعتماد على شهادة الدفعة لا يُلغى بذلك. ويعتمد الشخص المؤهّل وفق متطلّبات إذن التسويق الساري في سوق الوجهة، ويُدوّن في شهادة الدفعة أيّ شرط خاص بالوجهة جرى استيفاؤه. وتحتفظ الجهة المعتمِدة بحقّها في تطبيق متطلّبها الوطني الإضافي كتدقيق متبقٍّ (إطار الاعتماد R.5) دون إعادة تنفيذ التصنيع والضبط المعتمَدين. ويُدار أيّ تباين في متطلّب وطني بوصفه شرطاً إضافياً خاصاً بالوجهة، لا سبباً لرفض شهادة صحيحة بخلاف ذلك.</w:t>
      </w:r>
      <w:r>
        <w:rPr>
          <w:rFonts w:ascii="Arial" w:eastAsia="Arial" w:hAnsi="Arial"/>
          <w:b/>
          <w:bCs/>
          <w:color w:val="15512F"/>
          <w:sz w:val="20"/>
          <w:szCs w:val="20"/>
          <w:rtl/>
        </w:rPr>
        <w:t xml:space="preserve">  </w:t>
      </w:r>
      <w:r>
        <w:rPr>
          <w:rFonts w:ascii="Arial" w:eastAsia="Arial" w:hAnsi="Arial"/>
          <w:b/>
          <w:bCs/>
          <w:color w:val="15512F"/>
          <w:sz w:val="20"/>
          <w:szCs w:val="20"/>
        </w:rPr>
        <w:t>III.4.2</w:t>
      </w:r>
    </w:p>
    <w:p w14:paraId="516FF5FB" w14:textId="77777777" w:rsidR="00CD5946" w:rsidRDefault="00000000">
      <w:pPr>
        <w:spacing w:before="260" w:after="0"/>
        <w:jc w:val="center"/>
      </w:pPr>
      <w:r>
        <w:rPr>
          <w:noProof/>
        </w:rPr>
        <w:drawing>
          <wp:inline distT="0" distB="0" distL="0" distR="0" wp14:anchorId="0EECA9D1" wp14:editId="283B7964">
            <wp:extent cx="876300" cy="1238250"/>
            <wp:effectExtent l="0" t="0" r="0" b="0"/>
            <wp:docPr id="4" name="Image3"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4F3C8283" w14:textId="77777777" w:rsidR="00CD5946" w:rsidRDefault="00000000">
      <w:pPr>
        <w:spacing w:before="50" w:after="0"/>
        <w:jc w:val="center"/>
      </w:pPr>
      <w:r>
        <w:rPr>
          <w:rFonts w:ascii="Arial" w:eastAsia="Arial" w:hAnsi="Arial"/>
          <w:b/>
          <w:bCs/>
          <w:color w:val="15512F"/>
          <w:sz w:val="19"/>
          <w:szCs w:val="19"/>
        </w:rPr>
        <w:t>AUPAM EXPERTS' OFFICE</w:t>
      </w:r>
    </w:p>
    <w:p w14:paraId="5F67BDBF"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29E72047" w14:textId="77777777" w:rsidR="00CD5946" w:rsidRDefault="00000000">
      <w:pPr>
        <w:spacing w:before="10" w:after="0"/>
        <w:jc w:val="center"/>
      </w:pPr>
      <w:r>
        <w:rPr>
          <w:rFonts w:ascii="Arial" w:eastAsia="Arial" w:hAnsi="Arial"/>
          <w:b/>
          <w:bCs/>
          <w:color w:val="B08C37"/>
          <w:sz w:val="24"/>
          <w:szCs w:val="24"/>
        </w:rPr>
        <w:t>2026 EDITION</w:t>
      </w:r>
    </w:p>
    <w:p w14:paraId="22CE201B" w14:textId="77777777" w:rsidR="00CD5946" w:rsidRDefault="00000000">
      <w:pPr>
        <w:spacing w:before="260" w:after="0"/>
        <w:jc w:val="center"/>
      </w:pPr>
      <w:r>
        <w:rPr>
          <w:rFonts w:ascii="Arial" w:eastAsia="Arial" w:hAnsi="Arial"/>
          <w:b/>
          <w:bCs/>
          <w:color w:val="15512F"/>
          <w:sz w:val="54"/>
          <w:szCs w:val="54"/>
        </w:rPr>
        <w:t>ANNEX 1</w:t>
      </w:r>
    </w:p>
    <w:p w14:paraId="58B27D41" w14:textId="77777777" w:rsidR="00CD5946" w:rsidRDefault="00000000">
      <w:pPr>
        <w:spacing w:before="40" w:after="0"/>
        <w:jc w:val="center"/>
      </w:pPr>
      <w:r>
        <w:rPr>
          <w:rFonts w:ascii="Arial" w:eastAsia="Arial" w:hAnsi="Arial"/>
          <w:b/>
          <w:bCs/>
          <w:color w:val="1A1A1A"/>
          <w:sz w:val="28"/>
          <w:szCs w:val="28"/>
        </w:rPr>
        <w:t>Manufacture of Sterile Medicinal Products · full bilingual clause-by-clause</w:t>
      </w:r>
    </w:p>
    <w:p w14:paraId="527C1176" w14:textId="77777777" w:rsidR="00CD5946" w:rsidRDefault="00000000">
      <w:pPr>
        <w:spacing w:before="16" w:after="0"/>
        <w:jc w:val="center"/>
      </w:pPr>
      <w:r>
        <w:rPr>
          <w:rFonts w:ascii="Arial" w:eastAsia="Arial" w:hAnsi="Arial"/>
          <w:color w:val="5A5A5A"/>
          <w:sz w:val="22"/>
          <w:szCs w:val="22"/>
        </w:rPr>
        <w:t>Sections 1 – 12 · EN | AR</w:t>
      </w:r>
    </w:p>
    <w:p w14:paraId="7CB6B674" w14:textId="77777777" w:rsidR="00CD5946" w:rsidRDefault="00000000">
      <w:pPr>
        <w:spacing w:before="26" w:after="0"/>
        <w:jc w:val="center"/>
      </w:pPr>
      <w:r>
        <w:rPr>
          <w:rFonts w:ascii="Arial" w:eastAsia="Arial" w:hAnsi="Arial"/>
          <w:b/>
          <w:bCs/>
          <w:color w:val="15512F"/>
          <w:sz w:val="22"/>
          <w:szCs w:val="22"/>
          <w:rtl/>
        </w:rPr>
        <w:t>الملحق ⁦</w:t>
      </w:r>
      <w:r>
        <w:rPr>
          <w:rFonts w:ascii="Arial" w:eastAsia="Arial" w:hAnsi="Arial"/>
          <w:b/>
          <w:bCs/>
          <w:color w:val="15512F"/>
          <w:sz w:val="22"/>
          <w:szCs w:val="22"/>
        </w:rPr>
        <w:t>1 —</w:t>
      </w:r>
      <w:r>
        <w:rPr>
          <w:rFonts w:ascii="Arial" w:eastAsia="Arial" w:hAnsi="Arial"/>
          <w:b/>
          <w:bCs/>
          <w:color w:val="15512F"/>
          <w:sz w:val="22"/>
          <w:szCs w:val="22"/>
          <w:rtl/>
        </w:rPr>
        <w:t>⁩ تصنيع المنتجات المعقّمة</w:t>
      </w:r>
    </w:p>
    <w:p w14:paraId="08827123"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0F3AFBE6" w14:textId="77777777" w:rsidR="00CD5946" w:rsidRDefault="00000000">
      <w:r>
        <w:br w:type="page"/>
      </w:r>
    </w:p>
    <w:p w14:paraId="64DE5229" w14:textId="77777777" w:rsidR="00CD5946" w:rsidRDefault="00000000">
      <w:pPr>
        <w:pStyle w:val="Heading1"/>
        <w:spacing w:before="0"/>
      </w:pPr>
      <w:bookmarkStart w:id="121" w:name="__RefHeading___Toc9399_1729075678"/>
      <w:bookmarkEnd w:id="121"/>
      <w:r>
        <w:lastRenderedPageBreak/>
        <w:t>Contents</w:t>
      </w:r>
    </w:p>
    <w:sdt>
      <w:sdtPr>
        <w:id w:val="-1253970657"/>
        <w:docPartObj>
          <w:docPartGallery w:val="Table of Contents"/>
          <w:docPartUnique/>
        </w:docPartObj>
      </w:sdtPr>
      <w:sdtContent>
        <w:p w14:paraId="4002E428"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49F7B6A3"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3F265877"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3D1CB17C"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10D1BD3D"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595582CF"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40881B23"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4085E2AF"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6B562CA9"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63FC4E79"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615B5431"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07B9CCA6"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7DEC9E8B"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798B3B12"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6D66160D"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0068DBF3"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51CAAA0E"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66EABE71"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5698D7BB"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4099033D"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491E20FD"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23E45DFB"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0AF63862"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22DDC50B"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30DD0EBD"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2B8B3709"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16CB2DF6"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0BAEFA1B"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52BD9913"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4EA661BE"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600088D1"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0F8DAF1E"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4983C8AC"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5FB63FDB"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6DBC986F"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7730DF65"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28F7164F"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2A1FAED7"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1C83354A"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70A020C9"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4A16B51B"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642EB0D6"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6E42EE63"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18C03458"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20A4C87F"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6CAC7046"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2E5C19DA"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1E5893BE"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4728A7CE"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7DBA641F"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729FF4BE"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7D7D040C"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40113745"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6F823618"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7162235D"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5CF38F4F"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06CDB287"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1C469CF1"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5BFF905B"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7651E5D9"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3EEB9A29"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6F85F91F"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01B31F7D"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4FCBB063"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543AA5BA"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68F4A04B"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0BB64147"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69F30713"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2B634C47"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1B721A9C"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03738BD9"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02C8A7A7"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66D45E66"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7C3659C0" w14:textId="77777777" w:rsidR="00CD5946" w:rsidRDefault="00CD5946"/>
    <w:p w14:paraId="4C1E24C4" w14:textId="77777777" w:rsidR="00CD5946" w:rsidRDefault="00000000">
      <w:pPr>
        <w:pStyle w:val="Heading1"/>
      </w:pPr>
      <w:bookmarkStart w:id="122" w:name="__RefHeading___Toc9401_1729075678"/>
      <w:bookmarkEnd w:id="122"/>
      <w:r>
        <w:t xml:space="preserve">Annex 1 — Manufacture of Sterile Medicinal Products  ·  </w:t>
      </w:r>
      <w:r>
        <w:rPr>
          <w:rtl/>
        </w:rPr>
        <w:t xml:space="preserve">الملحق </w:t>
      </w:r>
      <w:r>
        <w:t>1</w:t>
      </w:r>
      <w:r>
        <w:rPr>
          <w:rtl/>
        </w:rPr>
        <w:t xml:space="preserve"> — تصنيع المنتجات الدوائية المعقّمة</w:t>
      </w:r>
    </w:p>
    <w:p w14:paraId="3B756385" w14:textId="77777777" w:rsidR="00CD5946" w:rsidRDefault="00000000">
      <w:pPr>
        <w:spacing w:before="10" w:after="150"/>
      </w:pPr>
      <w:r>
        <w:rPr>
          <w:rFonts w:ascii="Arial" w:eastAsia="Arial" w:hAnsi="Arial"/>
          <w:b/>
          <w:bCs/>
          <w:color w:val="C8A24B"/>
          <w:sz w:val="17"/>
          <w:szCs w:val="17"/>
        </w:rPr>
        <w:t xml:space="preserve">Harmonised with: </w:t>
      </w:r>
      <w:r>
        <w:rPr>
          <w:rFonts w:ascii="Arial" w:eastAsia="Arial" w:hAnsi="Arial"/>
          <w:i/>
          <w:iCs/>
          <w:color w:val="5A5A5A"/>
          <w:sz w:val="17"/>
          <w:szCs w:val="17"/>
        </w:rPr>
        <w:t>EU GMP Annex 1 (2022; in operation 25 Aug 2023, §8.123 from 25 Aug 2024) · SFDA GMP Guide v4.4, Annex 1 · PIC/S PE 009-17 Annex 1 · ISO 14644-1/-2:2015 · EN 285 · EN 17141 · WHO TRS 1044 Annex 2 · US FDA Aseptic Processing (2004) · ICH Q9(R1) · Ph.Eur./USP</w:t>
      </w:r>
    </w:p>
    <w:p w14:paraId="2177C9DF" w14:textId="77777777" w:rsidR="00CD5946" w:rsidRDefault="00000000">
      <w:pPr>
        <w:pBdr>
          <w:left w:val="single" w:sz="16" w:space="8" w:color="C8A24B"/>
        </w:pBdr>
        <w:spacing w:after="40"/>
        <w:ind w:left="160"/>
      </w:pPr>
      <w:r>
        <w:rPr>
          <w:rFonts w:ascii="Arial" w:eastAsia="Arial" w:hAnsi="Arial"/>
          <w:b/>
          <w:bCs/>
          <w:color w:val="C8A24B"/>
        </w:rPr>
        <w:t xml:space="preserve">Principle.  </w:t>
      </w:r>
      <w:r>
        <w:rPr>
          <w:rFonts w:ascii="Arial" w:eastAsia="Arial" w:hAnsi="Arial"/>
          <w:color w:val="1A1A1A"/>
        </w:rPr>
        <w:t>The manufacture of sterile products is subject to special requirements in order to minimise risks of microbial, particulate and pyrogen contamination. The knowledge and expertise of the manufacturer, and the appropriate application of Quality Risk Management (QRM), are essential. A Contamination Control Strategy (CCS) shall be implemented across the facility to define all critical control points and to assess the effectiveness of all the controls and monitoring measures employed to manage the risks to product quality and safety. Products should be sterilised in their final container by terminal sterilisation wherever possible; where this is not possible, aseptic processing shall be used.</w:t>
      </w:r>
    </w:p>
    <w:p w14:paraId="0B8840B7" w14:textId="77777777" w:rsidR="00CD5946" w:rsidRDefault="00000000">
      <w:pPr>
        <w:bidi/>
        <w:spacing w:after="150"/>
        <w:ind w:right="160"/>
        <w:jc w:val="right"/>
      </w:pPr>
      <w:r>
        <w:rPr>
          <w:rFonts w:ascii="Arial" w:eastAsia="Arial" w:hAnsi="Arial"/>
          <w:b/>
          <w:bCs/>
          <w:color w:val="C8A24B"/>
          <w:sz w:val="20"/>
          <w:szCs w:val="20"/>
          <w:rtl/>
        </w:rPr>
        <w:t xml:space="preserve">المبدأ. </w:t>
      </w:r>
      <w:r>
        <w:rPr>
          <w:rFonts w:ascii="Arial" w:eastAsia="Arial" w:hAnsi="Arial"/>
          <w:color w:val="333333"/>
          <w:sz w:val="20"/>
          <w:szCs w:val="20"/>
          <w:rtl/>
        </w:rPr>
        <w:t>يخضع تصنيع المنتجات المعقّمة لمتطلبات خاصة لتقليل مخاطر التلوث الميكروبي والجسيمي والمولّد للحمّى. وتُعدّ معرفة المصنّع وخبرته وحسن تطبيق إدارة مخاطر الجودة أموراً جوهرية. ويجب تطبيق استراتيجية موثّقة لضبط التلوث على مستوى المنشأة تحدّد كل نقاط الضبط الحرجة وتقيّم فعّالية الضوابط والمراقبة. ويُفضّل التعقيم النهائي في العبوة النهائية كلّما أمكن؛ وإلّا فتُستخدم المعالجة العقيمة.</w:t>
      </w:r>
    </w:p>
    <w:p w14:paraId="052751A6" w14:textId="77777777" w:rsidR="00CD5946" w:rsidRDefault="00000000">
      <w:pPr>
        <w:pStyle w:val="Heading2"/>
        <w:spacing w:before="220"/>
      </w:pPr>
      <w:bookmarkStart w:id="123" w:name="__RefHeading___Toc9403_1729075678"/>
      <w:bookmarkEnd w:id="123"/>
      <w:r>
        <w:t>1.  Scope</w:t>
      </w:r>
      <w:r>
        <w:rPr>
          <w:b w:val="0"/>
          <w:bCs w:val="0"/>
          <w:color w:val="1A1A1A"/>
          <w:sz w:val="21"/>
          <w:szCs w:val="21"/>
        </w:rPr>
        <w:t xml:space="preserve">   </w:t>
      </w:r>
      <w:r>
        <w:rPr>
          <w:color w:val="C8A24B"/>
          <w:sz w:val="20"/>
          <w:szCs w:val="20"/>
          <w:rtl/>
        </w:rPr>
        <w:t>النطاق</w:t>
      </w:r>
    </w:p>
    <w:p w14:paraId="50740460" w14:textId="77777777" w:rsidR="00CD5946" w:rsidRDefault="00000000">
      <w:pPr>
        <w:spacing w:after="40" w:line="266" w:lineRule="auto"/>
        <w:ind w:left="300" w:hanging="300"/>
      </w:pPr>
      <w:r>
        <w:rPr>
          <w:rFonts w:ascii="Arial" w:eastAsia="Arial" w:hAnsi="Arial"/>
          <w:b/>
          <w:bCs/>
          <w:color w:val="15512F"/>
        </w:rPr>
        <w:t xml:space="preserve">1.1  </w:t>
      </w:r>
      <w:r>
        <w:rPr>
          <w:rFonts w:ascii="Arial" w:eastAsia="Arial" w:hAnsi="Arial"/>
          <w:color w:val="1A1A1A"/>
        </w:rPr>
        <w:t>This Annex applies to the manufacture of sterile medicinal products, sterile active substances, excipients, primary packaging materials and other items where the control of microbial, particulate and pyrogen contamination is required. It is not prescriptive as to the exact methods to be used to achieve control; equivalent alternative approaches that meet the intent may be applied where justified through QRM.</w:t>
      </w:r>
    </w:p>
    <w:p w14:paraId="0DD8C420" w14:textId="77777777" w:rsidR="00CD5946" w:rsidRDefault="00000000">
      <w:pPr>
        <w:bidi/>
        <w:spacing w:after="150" w:line="300" w:lineRule="auto"/>
        <w:ind w:right="300" w:hanging="300"/>
        <w:jc w:val="right"/>
      </w:pPr>
      <w:r>
        <w:rPr>
          <w:rFonts w:ascii="Arial" w:eastAsia="Arial" w:hAnsi="Arial"/>
          <w:color w:val="333333"/>
          <w:sz w:val="20"/>
          <w:szCs w:val="20"/>
          <w:rtl/>
        </w:rPr>
        <w:t>ينطبق هذا الملحق على تصنيع المنتجات الدوائية المعقّمة والمواد الفعّالة والسواغات ومواد التعبئة الأولية المعقّمة وغيرها ممّا يستلزم ضبط التلوث. وليس الملحق إلزاميّاً بشأن الطرائق الدقيقة؛ وتُقبل البدائل المكافئة المُبرّرة بإدارة المخاطر.</w:t>
      </w:r>
      <w:r>
        <w:rPr>
          <w:rFonts w:ascii="Arial" w:eastAsia="Arial" w:hAnsi="Arial"/>
          <w:b/>
          <w:bCs/>
          <w:color w:val="15512F"/>
          <w:sz w:val="20"/>
          <w:szCs w:val="20"/>
          <w:rtl/>
        </w:rPr>
        <w:t xml:space="preserve">  ⁦</w:t>
      </w:r>
      <w:r>
        <w:rPr>
          <w:rFonts w:ascii="Arial" w:eastAsia="Arial" w:hAnsi="Arial"/>
          <w:b/>
          <w:bCs/>
          <w:color w:val="15512F"/>
          <w:sz w:val="20"/>
          <w:szCs w:val="20"/>
        </w:rPr>
        <w:t>1.1</w:t>
      </w:r>
      <w:r>
        <w:rPr>
          <w:rFonts w:ascii="Arial" w:eastAsia="Arial" w:hAnsi="Arial"/>
          <w:b/>
          <w:bCs/>
          <w:color w:val="15512F"/>
          <w:sz w:val="20"/>
          <w:szCs w:val="20"/>
          <w:rtl/>
        </w:rPr>
        <w:t>⁩</w:t>
      </w:r>
    </w:p>
    <w:p w14:paraId="4FE8ACA8" w14:textId="77777777" w:rsidR="00CD5946" w:rsidRDefault="00000000">
      <w:pPr>
        <w:spacing w:after="40" w:line="266" w:lineRule="auto"/>
        <w:ind w:left="300" w:hanging="300"/>
      </w:pPr>
      <w:r>
        <w:rPr>
          <w:rFonts w:ascii="Arial" w:eastAsia="Arial" w:hAnsi="Arial"/>
          <w:b/>
          <w:bCs/>
          <w:color w:val="15512F"/>
        </w:rPr>
        <w:lastRenderedPageBreak/>
        <w:t xml:space="preserve">1.2  </w:t>
      </w:r>
      <w:r>
        <w:rPr>
          <w:rFonts w:ascii="Arial" w:eastAsia="Arial" w:hAnsi="Arial"/>
          <w:color w:val="1A1A1A"/>
        </w:rPr>
        <w:t>The intent of the Annex is to provide guidance for the manufacture of sterile products; however, certain principles and guidance — such as the CCS, room qualification and classification, qualification of equipment, cleaning and disinfection, gowning, monitoring and personnel behaviour — may also be used to support the manufacture of other products that are not sterile but where the control and reduction of microbial, particulate and pyrogen contamination is considered important (for example certain low-bioburden or biological intermediates).</w:t>
      </w:r>
    </w:p>
    <w:p w14:paraId="2C34893E" w14:textId="77777777" w:rsidR="00CD5946" w:rsidRDefault="00000000">
      <w:pPr>
        <w:bidi/>
        <w:spacing w:after="150" w:line="300" w:lineRule="auto"/>
        <w:ind w:right="300" w:hanging="300"/>
        <w:jc w:val="right"/>
      </w:pPr>
      <w:r>
        <w:rPr>
          <w:rFonts w:ascii="Arial" w:eastAsia="Arial" w:hAnsi="Arial"/>
          <w:color w:val="333333"/>
          <w:sz w:val="20"/>
          <w:szCs w:val="20"/>
          <w:rtl/>
        </w:rPr>
        <w:t>يهدف الملحق إلى إرشاد تصنيع المنتجات المعقّمة؛ إلّا أنّ بعض المبادئ — كاستراتيجية ضبط التلوث، وتأهيل وتصنيف الغرف، وتأهيل المعدّات، والتنظيف والتطهير، والتلبّس، والمراقبة — يمكن الاسترشاد بها أيضاً في تصنيع منتجات غير معقّمة حيث يُعدّ ضبط التلوث وخفضه مهمّاً.</w:t>
      </w:r>
      <w:r>
        <w:rPr>
          <w:rFonts w:ascii="Arial" w:eastAsia="Arial" w:hAnsi="Arial"/>
          <w:b/>
          <w:bCs/>
          <w:color w:val="15512F"/>
          <w:sz w:val="20"/>
          <w:szCs w:val="20"/>
          <w:rtl/>
        </w:rPr>
        <w:t xml:space="preserve">  ⁦</w:t>
      </w:r>
      <w:r>
        <w:rPr>
          <w:rFonts w:ascii="Arial" w:eastAsia="Arial" w:hAnsi="Arial"/>
          <w:b/>
          <w:bCs/>
          <w:color w:val="15512F"/>
          <w:sz w:val="20"/>
          <w:szCs w:val="20"/>
        </w:rPr>
        <w:t>1.2</w:t>
      </w:r>
      <w:r>
        <w:rPr>
          <w:rFonts w:ascii="Arial" w:eastAsia="Arial" w:hAnsi="Arial"/>
          <w:b/>
          <w:bCs/>
          <w:color w:val="15512F"/>
          <w:sz w:val="20"/>
          <w:szCs w:val="20"/>
          <w:rtl/>
        </w:rPr>
        <w:t>⁩</w:t>
      </w:r>
    </w:p>
    <w:p w14:paraId="7681CBB0" w14:textId="77777777" w:rsidR="00CD5946" w:rsidRDefault="00000000">
      <w:pPr>
        <w:spacing w:after="40" w:line="266" w:lineRule="auto"/>
        <w:ind w:left="300" w:hanging="300"/>
      </w:pPr>
      <w:r>
        <w:rPr>
          <w:rFonts w:ascii="Arial" w:eastAsia="Arial" w:hAnsi="Arial"/>
          <w:b/>
          <w:bCs/>
          <w:color w:val="15512F"/>
        </w:rPr>
        <w:t xml:space="preserve">1.3  </w:t>
      </w:r>
      <w:r>
        <w:rPr>
          <w:rFonts w:ascii="Arial" w:eastAsia="Arial" w:hAnsi="Arial"/>
          <w:color w:val="1A1A1A"/>
        </w:rPr>
        <w:t>Manufacturing activities are categorised by the point at which sterility is achieved: terminally sterilised products are filled and sealed before being sterilised in their final container; aseptically processed products are made from separately sterilised components and product, combined under conditions that prevent the ingress of contamination. The selection between these routes shall follow a documented, risk-based decision and shall be reflected throughout the CCS.</w:t>
      </w:r>
    </w:p>
    <w:p w14:paraId="6C7019AB" w14:textId="77777777" w:rsidR="00CD5946" w:rsidRDefault="00000000">
      <w:pPr>
        <w:bidi/>
        <w:spacing w:after="150" w:line="300" w:lineRule="auto"/>
        <w:ind w:right="300" w:hanging="300"/>
        <w:jc w:val="right"/>
      </w:pPr>
      <w:r>
        <w:rPr>
          <w:rFonts w:ascii="Arial" w:eastAsia="Arial" w:hAnsi="Arial"/>
          <w:color w:val="333333"/>
          <w:sz w:val="20"/>
          <w:szCs w:val="20"/>
          <w:rtl/>
        </w:rPr>
        <w:t>تُصنّف أنشطة التصنيع بحسب نقطة تحقيق التعقيم: فالمنتجات المعقّمة نهائيّاً تُعبّأ وتُغلَق ثمّ تُعقّم في عبوتها النهائية؛ أمّا المنتجات المُعالَجة بأسلوب عقيم فتُصنَع من مكوّنات ومنتج مُعقّمين منفصلين تُجمَع في ظروف تمنع دخول التلوث. ويُتّخذ الاختيار بينهما بقرار موثّق قائم على المخاطر ويُجسّد في استراتيجية ضبط التلوث.</w:t>
      </w:r>
      <w:r>
        <w:rPr>
          <w:rFonts w:ascii="Arial" w:eastAsia="Arial" w:hAnsi="Arial"/>
          <w:b/>
          <w:bCs/>
          <w:color w:val="15512F"/>
          <w:sz w:val="20"/>
          <w:szCs w:val="20"/>
          <w:rtl/>
        </w:rPr>
        <w:t xml:space="preserve">  ⁦</w:t>
      </w:r>
      <w:r>
        <w:rPr>
          <w:rFonts w:ascii="Arial" w:eastAsia="Arial" w:hAnsi="Arial"/>
          <w:b/>
          <w:bCs/>
          <w:color w:val="15512F"/>
          <w:sz w:val="20"/>
          <w:szCs w:val="20"/>
        </w:rPr>
        <w:t>1.3</w:t>
      </w:r>
      <w:r>
        <w:rPr>
          <w:rFonts w:ascii="Arial" w:eastAsia="Arial" w:hAnsi="Arial"/>
          <w:b/>
          <w:bCs/>
          <w:color w:val="15512F"/>
          <w:sz w:val="20"/>
          <w:szCs w:val="20"/>
          <w:rtl/>
        </w:rPr>
        <w:t>⁩</w:t>
      </w:r>
    </w:p>
    <w:p>
      <w:pPr>
        <w:spacing w:after="40" w:line="266" w:lineRule="auto"/>
        <w:ind w:left="300" w:hanging="300"/>
      </w:pPr>
      <w:r>
        <w:rPr>
          <w:rFonts w:ascii="Arial" w:eastAsia="Arial" w:hAnsi="Arial"/>
          <w:b/>
          <w:bCs/>
          <w:color w:val="15512F"/>
        </w:rPr>
        <w:t xml:space="preserve">Note.  Clause-number concordance: this Annex condenses EU GMP Annex 1 (2022) and its section numbering differs from the EU text (for example, utilities are section 7 here and section 6 in the EU text; the APS acceptance criteria are clause 9.2 here and §9.46 in the EU text; Tables 1 and 2 here correspond to EU Tables 1 and 6, and the EU Table 5 monitoring limits are given in the Note to section 4). When citing across organisations, quote both numbers.</w:t>
      </w:r>
    </w:p>
    <w:p>
      <w:pPr>
        <w:bidi/>
        <w:spacing w:after="150" w:line="300" w:lineRule="auto"/>
        <w:ind w:right="300" w:hanging="300"/>
        <w:jc w:val="right"/>
      </w:pPr>
      <w:r>
        <w:rPr>
          <w:rFonts w:ascii="Arial" w:eastAsia="Arial" w:hAnsi="Arial"/>
          <w:color w:val="333333"/>
          <w:sz w:val="20"/>
          <w:szCs w:val="20"/>
          <w:rtl/>
        </w:rPr>
        <w:t xml:space="preserve">ملاحظة: مطابقة أرقام البنود: يوجز هذا الملحق الملحق الأوروبي 1 (2022) ويختلف ترقيمه عنه (فالمرافق هنا القسم 7 وفي النص الأوروبي القسم 6، ومعايير قبول المحاكاة هنا البند 9.2 وفي النص الأوروبي البند 9.46، والجدولان 1 و2 هنا يقابلان الجدولين 1 و6 الأوروبيين، وحدود المراقبة في الجدول 5 الأوروبي واردة في ملاحظة القسم 4). وعند الاستشهاد بين الجهات تُذكر الأرقام معاً.</w:t>
      </w:r>
    </w:p>
    <w:p w14:paraId="2395A358" w14:textId="77777777" w:rsidR="00CD5946" w:rsidRDefault="00000000">
      <w:pPr>
        <w:pStyle w:val="Heading2"/>
        <w:spacing w:before="220"/>
      </w:pPr>
      <w:bookmarkStart w:id="124" w:name="__RefHeading___Toc9405_1729075678"/>
      <w:bookmarkEnd w:id="124"/>
      <w:r>
        <w:t>2.  Contamination Control Strategy (CCS)</w:t>
      </w:r>
      <w:r>
        <w:rPr>
          <w:b w:val="0"/>
          <w:bCs w:val="0"/>
          <w:color w:val="1A1A1A"/>
          <w:sz w:val="21"/>
          <w:szCs w:val="21"/>
        </w:rPr>
        <w:t xml:space="preserve">   </w:t>
      </w:r>
      <w:r>
        <w:rPr>
          <w:color w:val="C8A24B"/>
          <w:sz w:val="20"/>
          <w:szCs w:val="20"/>
          <w:rtl/>
        </w:rPr>
        <w:t>استراتيجية ضبط التلوث</w:t>
      </w:r>
    </w:p>
    <w:p w14:paraId="3EA821F0" w14:textId="77777777" w:rsidR="00CD5946" w:rsidRDefault="00000000">
      <w:pPr>
        <w:spacing w:after="40" w:line="266" w:lineRule="auto"/>
        <w:ind w:left="300" w:hanging="300"/>
      </w:pPr>
      <w:r>
        <w:rPr>
          <w:rFonts w:ascii="Arial" w:eastAsia="Arial" w:hAnsi="Arial"/>
          <w:b/>
          <w:bCs/>
          <w:color w:val="15512F"/>
        </w:rPr>
        <w:t xml:space="preserve">2.1  </w:t>
      </w:r>
      <w:r>
        <w:rPr>
          <w:rFonts w:ascii="Arial" w:eastAsia="Arial" w:hAnsi="Arial"/>
          <w:color w:val="1A1A1A"/>
        </w:rPr>
        <w:t>A holistic, documented CCS shall be established across the facility, drawing on product and process understanding, to define and link all the controls for microorganisms, endotoxin/pyrogen and particles. It shall map the critical control points and assess the effectiveness of all design, technical and organisational controls and of the monitoring methods.</w:t>
      </w:r>
    </w:p>
    <w:p w14:paraId="532ACC27" w14:textId="77777777" w:rsidR="00CD5946" w:rsidRDefault="00000000">
      <w:pPr>
        <w:bidi/>
        <w:spacing w:after="150" w:line="300" w:lineRule="auto"/>
        <w:ind w:right="300" w:hanging="300"/>
        <w:jc w:val="right"/>
      </w:pPr>
      <w:r>
        <w:rPr>
          <w:rFonts w:ascii="Arial" w:eastAsia="Arial" w:hAnsi="Arial"/>
          <w:color w:val="333333"/>
          <w:sz w:val="20"/>
          <w:szCs w:val="20"/>
          <w:rtl/>
        </w:rPr>
        <w:t>تُوضع استراتيجية شاملة وموثّقة لضبط التلوث على مستوى المنشأة، تستند إلى فهم المنتج والعملية، لتحديد وربط كل ضوابط الكائنات الدقيقة والذيفان والجسيمات، وتحديد نقاط الضبط الحرجة وتقييم فعّالية الضوابط التصميمية والتقنية والتنظيمية والمراقبة.</w:t>
      </w:r>
      <w:r>
        <w:rPr>
          <w:rFonts w:ascii="Arial" w:eastAsia="Arial" w:hAnsi="Arial"/>
          <w:b/>
          <w:bCs/>
          <w:color w:val="15512F"/>
          <w:sz w:val="20"/>
          <w:szCs w:val="20"/>
          <w:rtl/>
        </w:rPr>
        <w:t xml:space="preserve">  ⁦</w:t>
      </w:r>
      <w:r>
        <w:rPr>
          <w:rFonts w:ascii="Arial" w:eastAsia="Arial" w:hAnsi="Arial"/>
          <w:b/>
          <w:bCs/>
          <w:color w:val="15512F"/>
          <w:sz w:val="20"/>
          <w:szCs w:val="20"/>
        </w:rPr>
        <w:t>2.1</w:t>
      </w:r>
      <w:r>
        <w:rPr>
          <w:rFonts w:ascii="Arial" w:eastAsia="Arial" w:hAnsi="Arial"/>
          <w:b/>
          <w:bCs/>
          <w:color w:val="15512F"/>
          <w:sz w:val="20"/>
          <w:szCs w:val="20"/>
          <w:rtl/>
        </w:rPr>
        <w:t>⁩</w:t>
      </w:r>
    </w:p>
    <w:p w14:paraId="2BE6D773" w14:textId="77777777" w:rsidR="00CD5946" w:rsidRDefault="00000000">
      <w:pPr>
        <w:spacing w:after="40" w:line="266" w:lineRule="auto"/>
        <w:ind w:left="300" w:hanging="300"/>
      </w:pPr>
      <w:r>
        <w:rPr>
          <w:rFonts w:ascii="Arial" w:eastAsia="Arial" w:hAnsi="Arial"/>
          <w:b/>
          <w:bCs/>
          <w:color w:val="15512F"/>
        </w:rPr>
        <w:t xml:space="preserve">2.2  </w:t>
      </w:r>
      <w:r>
        <w:rPr>
          <w:rFonts w:ascii="Arial" w:eastAsia="Arial" w:hAnsi="Arial"/>
          <w:color w:val="1A1A1A"/>
        </w:rPr>
        <w:t>The CCS shall consider at least: facility and process design; premises and equipment; personnel; utilities (water, gases, HVAC); raw-material and component controls including containers and closures; vendor approval and outsourced services; process risk management; process validation; preventive maintenance; cleaning and disinfection; monitoring systems; and the mechanisms for periodic review and continual improvement. The CCS shall be a living document and shall be reviewed and updated regularly and upon change.</w:t>
      </w:r>
    </w:p>
    <w:p w14:paraId="51E4241A" w14:textId="77777777" w:rsidR="00CD5946" w:rsidRDefault="00000000">
      <w:pPr>
        <w:bidi/>
        <w:spacing w:after="150" w:line="300" w:lineRule="auto"/>
        <w:ind w:right="300" w:hanging="300"/>
        <w:jc w:val="right"/>
      </w:pPr>
      <w:r>
        <w:rPr>
          <w:rFonts w:ascii="Arial" w:eastAsia="Arial" w:hAnsi="Arial"/>
          <w:color w:val="333333"/>
          <w:sz w:val="20"/>
          <w:szCs w:val="20"/>
          <w:rtl/>
        </w:rPr>
        <w:t>تتناول الاستراتيجية على الأقل: تصميم المرفق والعملية؛ والمباني والمعدّات؛ والأفراد؛ والمرافق (الماء والغازات والتكييف)؛ وضوابط المواد والمكوّنات بما فيها الحاويات والإغلاقات؛ واعتماد المورّدين والخدمات المُسندة؛ وإدارة مخاطر العملية؛ وتحقّق العملية؛ والصيانة الوقائية؛ والتنظيف والتطهير؛ وأنظمة المراقبة؛ وآليات المراجعة والتحسين المستمر. وهي وثيقة حيّة تُراجَع دوريّاً وعند التغيير.</w:t>
      </w:r>
      <w:r>
        <w:rPr>
          <w:rFonts w:ascii="Arial" w:eastAsia="Arial" w:hAnsi="Arial"/>
          <w:b/>
          <w:bCs/>
          <w:color w:val="15512F"/>
          <w:sz w:val="20"/>
          <w:szCs w:val="20"/>
          <w:rtl/>
        </w:rPr>
        <w:t xml:space="preserve">  ⁦</w:t>
      </w:r>
      <w:r>
        <w:rPr>
          <w:rFonts w:ascii="Arial" w:eastAsia="Arial" w:hAnsi="Arial"/>
          <w:b/>
          <w:bCs/>
          <w:color w:val="15512F"/>
          <w:sz w:val="20"/>
          <w:szCs w:val="20"/>
        </w:rPr>
        <w:t>2.2</w:t>
      </w:r>
      <w:r>
        <w:rPr>
          <w:rFonts w:ascii="Arial" w:eastAsia="Arial" w:hAnsi="Arial"/>
          <w:b/>
          <w:bCs/>
          <w:color w:val="15512F"/>
          <w:sz w:val="20"/>
          <w:szCs w:val="20"/>
          <w:rtl/>
        </w:rPr>
        <w:t>⁩</w:t>
      </w:r>
    </w:p>
    <w:p w14:paraId="3849E4AB" w14:textId="77777777" w:rsidR="00CD5946" w:rsidRDefault="00000000">
      <w:pPr>
        <w:spacing w:after="40" w:line="266" w:lineRule="auto"/>
        <w:ind w:left="300" w:hanging="300"/>
      </w:pPr>
      <w:r>
        <w:rPr>
          <w:rFonts w:ascii="Arial" w:eastAsia="Arial" w:hAnsi="Arial"/>
          <w:b/>
          <w:bCs/>
          <w:color w:val="15512F"/>
        </w:rPr>
        <w:t xml:space="preserve">2.3  </w:t>
      </w:r>
      <w:r>
        <w:rPr>
          <w:rFonts w:ascii="Arial" w:eastAsia="Arial" w:hAnsi="Arial"/>
          <w:color w:val="1A1A1A"/>
        </w:rPr>
        <w:t>The effectiveness of the CCS shall be reviewed periodically as part of the PQS and the Product Quality Review, taking account of monitoring trends, deviations, complaints, recalls and the outcomes of self-inspection. The strategy shall drive continual improvement of the manufacturing and control methods, and shall reflect the current state of scientific knowledge and technological advance (for example the progressive adoption of barrier technology).</w:t>
      </w:r>
    </w:p>
    <w:p w14:paraId="05D64B31" w14:textId="77777777" w:rsidR="00CD5946" w:rsidRDefault="00000000">
      <w:pPr>
        <w:bidi/>
        <w:spacing w:after="150" w:line="300" w:lineRule="auto"/>
        <w:ind w:right="300" w:hanging="300"/>
        <w:jc w:val="right"/>
      </w:pPr>
      <w:r>
        <w:rPr>
          <w:rFonts w:ascii="Arial" w:eastAsia="Arial" w:hAnsi="Arial"/>
          <w:color w:val="333333"/>
          <w:sz w:val="20"/>
          <w:szCs w:val="20"/>
          <w:rtl/>
        </w:rPr>
        <w:t>تُراجَع فعّالية الاستراتيجية دوريّاً ضمن نظام الجودة والمراجعة الدورية لجودة المنتج، مع مراعاة اتجاهات المراقبة والانحرافات والشكاوى والاستدعاءات ونتائج التفتيش الذاتي، وتدفع التحسين المستمر وتعكس أحدث المعرفة العلمية والتقدّم التقني (كالتبنّي التدريجي لتقنية الحواجز).</w:t>
      </w:r>
      <w:r>
        <w:rPr>
          <w:rFonts w:ascii="Arial" w:eastAsia="Arial" w:hAnsi="Arial"/>
          <w:b/>
          <w:bCs/>
          <w:color w:val="15512F"/>
          <w:sz w:val="20"/>
          <w:szCs w:val="20"/>
          <w:rtl/>
        </w:rPr>
        <w:t xml:space="preserve">  ⁦</w:t>
      </w:r>
      <w:r>
        <w:rPr>
          <w:rFonts w:ascii="Arial" w:eastAsia="Arial" w:hAnsi="Arial"/>
          <w:b/>
          <w:bCs/>
          <w:color w:val="15512F"/>
          <w:sz w:val="20"/>
          <w:szCs w:val="20"/>
        </w:rPr>
        <w:t>2.3</w:t>
      </w:r>
      <w:r>
        <w:rPr>
          <w:rFonts w:ascii="Arial" w:eastAsia="Arial" w:hAnsi="Arial"/>
          <w:b/>
          <w:bCs/>
          <w:color w:val="15512F"/>
          <w:sz w:val="20"/>
          <w:szCs w:val="20"/>
          <w:rtl/>
        </w:rPr>
        <w:t>⁩</w:t>
      </w:r>
    </w:p>
    <w:p w14:paraId="090F4CD4" w14:textId="77777777" w:rsidR="00CD5946" w:rsidRDefault="00000000">
      <w:pPr>
        <w:spacing w:after="40" w:line="266" w:lineRule="auto"/>
        <w:ind w:left="300" w:hanging="300"/>
      </w:pPr>
      <w:r>
        <w:rPr>
          <w:rFonts w:ascii="Arial" w:eastAsia="Arial" w:hAnsi="Arial"/>
          <w:b/>
          <w:bCs/>
          <w:color w:val="15512F"/>
        </w:rPr>
        <w:t xml:space="preserve">2.4  </w:t>
      </w:r>
      <w:r>
        <w:rPr>
          <w:rFonts w:ascii="Arial" w:eastAsia="Arial" w:hAnsi="Arial"/>
          <w:color w:val="1A1A1A"/>
        </w:rPr>
        <w:t xml:space="preserve">Personnel are a primary source of contamination in aseptic processing; the CCS shall therefore give particular weight to controls that reduce human intervention and that govern entry, gowning, behaviour and qualification. The strategy shall also address the controls on starting materials and </w:t>
        <w:lastRenderedPageBreak/>
        <w:t>components of biological origin, where bioburden and endotoxin contribution shall be specifically assessed and limited.</w:t>
      </w:r>
    </w:p>
    <w:p w14:paraId="2B031312" w14:textId="77777777" w:rsidR="00CD5946" w:rsidRDefault="00000000">
      <w:pPr>
        <w:bidi/>
        <w:spacing w:after="150" w:line="300" w:lineRule="auto"/>
        <w:ind w:right="300" w:hanging="300"/>
        <w:jc w:val="right"/>
      </w:pPr>
      <w:r>
        <w:rPr>
          <w:rFonts w:ascii="Arial" w:eastAsia="Arial" w:hAnsi="Arial"/>
          <w:color w:val="333333"/>
          <w:sz w:val="20"/>
          <w:szCs w:val="20"/>
          <w:rtl/>
        </w:rPr>
        <w:t>يُعدّ الأفراد مصدراً رئيسيّاً للتلوث في المعالجة العقيمة؛ لذا تولي الاستراتيجية وزناً خاصّاً للضوابط التي تقلّل التدخّل البشري وتحكم الدخول والتلبّس والسلوك والتأهيل. وتتناول أيضاً ضوابط المواد الأولية والمكوّنات ذات المنشأ البيولوجي حيث يُقيّم ويُحدّ إسهام الحمل الميكروبي والذيفان تحديداً.</w:t>
      </w:r>
      <w:r>
        <w:rPr>
          <w:rFonts w:ascii="Arial" w:eastAsia="Arial" w:hAnsi="Arial"/>
          <w:b/>
          <w:bCs/>
          <w:color w:val="15512F"/>
          <w:sz w:val="20"/>
          <w:szCs w:val="20"/>
          <w:rtl/>
        </w:rPr>
        <w:t xml:space="preserve">  ⁦</w:t>
      </w:r>
      <w:r>
        <w:rPr>
          <w:rFonts w:ascii="Arial" w:eastAsia="Arial" w:hAnsi="Arial"/>
          <w:b/>
          <w:bCs/>
          <w:color w:val="15512F"/>
          <w:sz w:val="20"/>
          <w:szCs w:val="20"/>
        </w:rPr>
        <w:t>2.4</w:t>
      </w:r>
      <w:r>
        <w:rPr>
          <w:rFonts w:ascii="Arial" w:eastAsia="Arial" w:hAnsi="Arial"/>
          <w:b/>
          <w:bCs/>
          <w:color w:val="15512F"/>
          <w:sz w:val="20"/>
          <w:szCs w:val="20"/>
          <w:rtl/>
        </w:rPr>
        <w:t>⁩</w:t>
      </w:r>
    </w:p>
    <w:p w14:paraId="2FFF59E7" w14:textId="77777777" w:rsidR="00CD5946" w:rsidRDefault="00000000">
      <w:pP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The CCS need not be a single document. It may be a structured set of cross-referenced documents — risk assessments, qualification and monitoring data, procedures and the Site Master File — provided the linkage between them and the rationale for each control are clear and maintained.</w:t>
      </w:r>
    </w:p>
    <w:p w14:paraId="7228CDE1" w14:textId="77777777" w:rsidR="00CD5946" w:rsidRDefault="00000000">
      <w:pPr>
        <w:bidi/>
        <w:spacing w:after="140"/>
        <w:ind w:right="300"/>
        <w:jc w:val="right"/>
      </w:pPr>
      <w:r>
        <w:rPr>
          <w:rFonts w:ascii="Arial" w:eastAsia="Arial" w:hAnsi="Arial"/>
          <w:color w:val="5A5A5A"/>
          <w:sz w:val="18"/>
          <w:szCs w:val="18"/>
          <w:rtl/>
        </w:rPr>
        <w:t>ليس من الضروري أن تكون استراتيجية ضبط التلوث وثيقةً واحدة؛ بل قد تكون مجموعة منظّمة من الوثائق المترابطة — تقييمات المخاطر وبيانات التأهيل والمراقبة والإجراءات وملف الموقع الرئيسي — شريطة وضوح الربط بينها ومبرّر كل ضابط وحفظها.</w:t>
      </w:r>
      <w:r>
        <w:rPr>
          <w:rFonts w:ascii="Arial" w:eastAsia="Arial" w:hAnsi="Arial"/>
          <w:b/>
          <w:bCs/>
          <w:color w:val="5A5A5A"/>
          <w:sz w:val="18"/>
          <w:szCs w:val="18"/>
          <w:rtl/>
        </w:rPr>
        <w:t xml:space="preserve">  ملاحظة.</w:t>
      </w:r>
    </w:p>
    <w:p w14:paraId="226F1E36" w14:textId="77777777" w:rsidR="00CD5946" w:rsidRDefault="00000000">
      <w:pPr>
        <w:pStyle w:val="Heading2"/>
        <w:spacing w:before="220"/>
      </w:pPr>
      <w:bookmarkStart w:id="125" w:name="__RefHeading___Toc9407_1729075678"/>
      <w:bookmarkEnd w:id="125"/>
      <w:r>
        <w:t>3.  Pharmaceutical Quality System</w:t>
      </w:r>
      <w:r>
        <w:rPr>
          <w:b w:val="0"/>
          <w:bCs w:val="0"/>
          <w:color w:val="1A1A1A"/>
          <w:sz w:val="21"/>
          <w:szCs w:val="21"/>
        </w:rPr>
        <w:t xml:space="preserve">   </w:t>
      </w:r>
      <w:r>
        <w:rPr>
          <w:color w:val="C8A24B"/>
          <w:sz w:val="20"/>
          <w:szCs w:val="20"/>
          <w:rtl/>
        </w:rPr>
        <w:t>نظام الجودة الصيدلاني</w:t>
      </w:r>
    </w:p>
    <w:p w14:paraId="1BE6BFA2" w14:textId="77777777" w:rsidR="00CD5946" w:rsidRDefault="00000000">
      <w:pPr>
        <w:spacing w:after="40" w:line="266" w:lineRule="auto"/>
        <w:ind w:left="300" w:hanging="300"/>
      </w:pPr>
      <w:r>
        <w:rPr>
          <w:rFonts w:ascii="Arial" w:eastAsia="Arial" w:hAnsi="Arial"/>
          <w:b/>
          <w:bCs/>
          <w:color w:val="15512F"/>
        </w:rPr>
        <w:t xml:space="preserve">3.1  </w:t>
      </w:r>
      <w:r>
        <w:rPr>
          <w:rFonts w:ascii="Arial" w:eastAsia="Arial" w:hAnsi="Arial"/>
          <w:color w:val="1A1A1A"/>
        </w:rPr>
        <w:t>The PQS for sterile products shall ensure that contamination is prevented and sterility assured, that QRM is applied to design and operation, that root-cause investigations of sterility failures and excursions are robust, and that the CCS is maintained. Responsibility for the CCS and for the sterility assurance of each batch shall be clearly assigned to suitably qualified persons.</w:t>
      </w:r>
    </w:p>
    <w:p w14:paraId="7E525E4C" w14:textId="77777777" w:rsidR="00CD5946" w:rsidRDefault="00000000">
      <w:pPr>
        <w:bidi/>
        <w:spacing w:after="150" w:line="300" w:lineRule="auto"/>
        <w:ind w:right="300" w:hanging="300"/>
        <w:jc w:val="right"/>
      </w:pPr>
      <w:r>
        <w:rPr>
          <w:rFonts w:ascii="Arial" w:eastAsia="Arial" w:hAnsi="Arial"/>
          <w:color w:val="333333"/>
          <w:sz w:val="20"/>
          <w:szCs w:val="20"/>
          <w:rtl/>
        </w:rPr>
        <w:t>يضمن نظام الجودة للمنتجات المعقّمة منع التلوث وضمان التعقيم، وتطبيق إدارة المخاطر على التصميم والتشغيل، وتحقيقات سبب جذري رصينة لإخفاقات التعقيم والتجاوزات، والحفاظ على استراتيجية ضبط التلوث. وتُسند مسؤولية الاستراتيجية وضمان تعقيم كل دفعة إلى أشخاص مؤهّلين.</w:t>
      </w:r>
      <w:r>
        <w:rPr>
          <w:rFonts w:ascii="Arial" w:eastAsia="Arial" w:hAnsi="Arial"/>
          <w:b/>
          <w:bCs/>
          <w:color w:val="15512F"/>
          <w:sz w:val="20"/>
          <w:szCs w:val="20"/>
          <w:rtl/>
        </w:rPr>
        <w:t xml:space="preserve">  ⁦</w:t>
      </w:r>
      <w:r>
        <w:rPr>
          <w:rFonts w:ascii="Arial" w:eastAsia="Arial" w:hAnsi="Arial"/>
          <w:b/>
          <w:bCs/>
          <w:color w:val="15512F"/>
          <w:sz w:val="20"/>
          <w:szCs w:val="20"/>
        </w:rPr>
        <w:t>3.1</w:t>
      </w:r>
      <w:r>
        <w:rPr>
          <w:rFonts w:ascii="Arial" w:eastAsia="Arial" w:hAnsi="Arial"/>
          <w:b/>
          <w:bCs/>
          <w:color w:val="15512F"/>
          <w:sz w:val="20"/>
          <w:szCs w:val="20"/>
          <w:rtl/>
        </w:rPr>
        <w:t>⁩</w:t>
      </w:r>
    </w:p>
    <w:p w14:paraId="38F88F82" w14:textId="77777777" w:rsidR="00CD5946" w:rsidRDefault="00000000">
      <w:pPr>
        <w:spacing w:after="40" w:line="266" w:lineRule="auto"/>
        <w:ind w:left="300" w:hanging="300"/>
      </w:pPr>
      <w:r>
        <w:rPr>
          <w:rFonts w:ascii="Arial" w:eastAsia="Arial" w:hAnsi="Arial"/>
          <w:b/>
          <w:bCs/>
          <w:color w:val="15512F"/>
        </w:rPr>
        <w:t xml:space="preserve">3.2  </w:t>
      </w:r>
      <w:r>
        <w:rPr>
          <w:rFonts w:ascii="Arial" w:eastAsia="Arial" w:hAnsi="Arial"/>
          <w:color w:val="1A1A1A"/>
        </w:rPr>
        <w:t>Risk assessments shall be conducted in accordance with ICH Q9 to identify, mitigate and control contamination hazards. They shall be documented, shall justify the controls and acceptance criteria adopted, and shall be reviewed in the light of monitoring data, technological progress and process knowledge. Where a deficiency is identified, its impact on sterility assurance and on the validity of prior batches shall be assessed and addressed through CAPA.</w:t>
      </w:r>
    </w:p>
    <w:p w14:paraId="32A6387B"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تُجرى تقييمات المخاطر وفق </w:t>
      </w:r>
      <w:r>
        <w:rPr>
          <w:rFonts w:ascii="Arial" w:eastAsia="Arial" w:hAnsi="Arial"/>
          <w:color w:val="333333"/>
          <w:sz w:val="20"/>
          <w:szCs w:val="20"/>
        </w:rPr>
        <w:t>ICH Q</w:t>
      </w:r>
      <w:r>
        <w:rPr>
          <w:rFonts w:ascii="Arial" w:eastAsia="Arial" w:hAnsi="Arial"/>
          <w:color w:val="333333"/>
          <w:sz w:val="20"/>
          <w:szCs w:val="20"/>
          <w:rtl/>
        </w:rPr>
        <w:t>⁦</w:t>
      </w:r>
      <w:r>
        <w:rPr>
          <w:rFonts w:ascii="Arial" w:eastAsia="Arial" w:hAnsi="Arial"/>
          <w:color w:val="333333"/>
          <w:sz w:val="20"/>
          <w:szCs w:val="20"/>
        </w:rPr>
        <w:t>9</w:t>
      </w:r>
      <w:r>
        <w:rPr>
          <w:rFonts w:ascii="Arial" w:eastAsia="Arial" w:hAnsi="Arial"/>
          <w:color w:val="333333"/>
          <w:sz w:val="20"/>
          <w:szCs w:val="20"/>
          <w:rtl/>
        </w:rPr>
        <w:t>⁩ لتحديد مخاطر التلوث وتخفيفها وضبطها، وتُوثّق وتُبرّر الضوابط ومعايير القبول، وتُراجَع في ضوء بيانات المراقبة والتقدّم التقني وفهم العملية. وعند رصد أي قصور يُقيّم أثره على ضمان التعقيم وعلى صلاحية الدفعات السابقة ويُعالَج بالإجراء التصحيحي والوقائي.</w:t>
      </w:r>
      <w:r>
        <w:rPr>
          <w:rFonts w:ascii="Arial" w:eastAsia="Arial" w:hAnsi="Arial"/>
          <w:b/>
          <w:bCs/>
          <w:color w:val="15512F"/>
          <w:sz w:val="20"/>
          <w:szCs w:val="20"/>
          <w:rtl/>
        </w:rPr>
        <w:t xml:space="preserve">  ⁦</w:t>
      </w:r>
      <w:r>
        <w:rPr>
          <w:rFonts w:ascii="Arial" w:eastAsia="Arial" w:hAnsi="Arial"/>
          <w:b/>
          <w:bCs/>
          <w:color w:val="15512F"/>
          <w:sz w:val="20"/>
          <w:szCs w:val="20"/>
        </w:rPr>
        <w:t>3.2</w:t>
      </w:r>
      <w:r>
        <w:rPr>
          <w:rFonts w:ascii="Arial" w:eastAsia="Arial" w:hAnsi="Arial"/>
          <w:b/>
          <w:bCs/>
          <w:color w:val="15512F"/>
          <w:sz w:val="20"/>
          <w:szCs w:val="20"/>
          <w:rtl/>
        </w:rPr>
        <w:t>⁩</w:t>
      </w:r>
    </w:p>
    <w:p w14:paraId="2DD1A0C0" w14:textId="77777777" w:rsidR="00CD5946" w:rsidRDefault="00000000">
      <w:pPr>
        <w:spacing w:after="40" w:line="266" w:lineRule="auto"/>
        <w:ind w:left="300" w:hanging="300"/>
      </w:pPr>
      <w:r>
        <w:rPr>
          <w:rFonts w:ascii="Arial" w:eastAsia="Arial" w:hAnsi="Arial"/>
          <w:b/>
          <w:bCs/>
          <w:color w:val="15512F"/>
        </w:rPr>
        <w:t xml:space="preserve">3.3  </w:t>
      </w:r>
      <w:r>
        <w:rPr>
          <w:rFonts w:ascii="Arial" w:eastAsia="Arial" w:hAnsi="Arial"/>
          <w:color w:val="1A1A1A"/>
        </w:rPr>
        <w:t>Any sterility failure, confirmed microbial contamination of a Grade A/B environment, media-fill failure or significant data-integrity finding affecting sterility assurance shall be the subject of a thorough, documented investigation that determines root cause, assesses the impact on released and in-process batches, and defines effective CAPA. Batch disposition shall not be completed until the investigation supports a sound sterility-assurance conclusion.</w:t>
      </w:r>
    </w:p>
    <w:p w14:paraId="5E10A5F6"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يخضع أيّ إخفاق في التعقيم، أو تلوث ميكروبي مؤكّد في بيئة الدرجة </w:t>
      </w:r>
      <w:r>
        <w:rPr>
          <w:rFonts w:ascii="Arial" w:eastAsia="Arial" w:hAnsi="Arial"/>
          <w:color w:val="333333"/>
          <w:sz w:val="20"/>
          <w:szCs w:val="20"/>
        </w:rPr>
        <w:t>A/B</w:t>
      </w:r>
      <w:r>
        <w:rPr>
          <w:rFonts w:ascii="Arial" w:eastAsia="Arial" w:hAnsi="Arial"/>
          <w:color w:val="333333"/>
          <w:sz w:val="20"/>
          <w:szCs w:val="20"/>
          <w:rtl/>
        </w:rPr>
        <w:t>، أو إخفاق تعبئة بالوسط، أو ملاحظة جوهرية في سلامة البيانات تمسّ ضمان التعقيم، لتحقيق موثّق يحدّد السبب الجذري ويقيّم الأثر على الدفعات المُفرج عنها وقيد التصنيع ويحدّد إجراءً تصحيحيّاً ووقائيّاً فعّالاً. ولا يُستكمل البتّ في الدفعة حتّى يدعم التحقيق استنتاجاً سليماً لضمان التعقيم.</w:t>
      </w:r>
      <w:r>
        <w:rPr>
          <w:rFonts w:ascii="Arial" w:eastAsia="Arial" w:hAnsi="Arial"/>
          <w:b/>
          <w:bCs/>
          <w:color w:val="15512F"/>
          <w:sz w:val="20"/>
          <w:szCs w:val="20"/>
          <w:rtl/>
        </w:rPr>
        <w:t xml:space="preserve">  ⁦</w:t>
      </w:r>
      <w:r>
        <w:rPr>
          <w:rFonts w:ascii="Arial" w:eastAsia="Arial" w:hAnsi="Arial"/>
          <w:b/>
          <w:bCs/>
          <w:color w:val="15512F"/>
          <w:sz w:val="20"/>
          <w:szCs w:val="20"/>
        </w:rPr>
        <w:t>3.3</w:t>
      </w:r>
      <w:r>
        <w:rPr>
          <w:rFonts w:ascii="Arial" w:eastAsia="Arial" w:hAnsi="Arial"/>
          <w:b/>
          <w:bCs/>
          <w:color w:val="15512F"/>
          <w:sz w:val="20"/>
          <w:szCs w:val="20"/>
          <w:rtl/>
        </w:rPr>
        <w:t>⁩</w:t>
      </w:r>
    </w:p>
    <w:p w14:paraId="3FBBC1C2" w14:textId="77777777" w:rsidR="00CD5946" w:rsidRDefault="00000000">
      <w:pPr>
        <w:pStyle w:val="Heading2"/>
        <w:spacing w:before="220"/>
      </w:pPr>
      <w:bookmarkStart w:id="126" w:name="__RefHeading___Toc9409_1729075678"/>
      <w:bookmarkEnd w:id="126"/>
      <w:r>
        <w:t>4.  Premises and cleanroom classification</w:t>
      </w:r>
      <w:r>
        <w:rPr>
          <w:b w:val="0"/>
          <w:bCs w:val="0"/>
          <w:color w:val="1A1A1A"/>
          <w:sz w:val="21"/>
          <w:szCs w:val="21"/>
        </w:rPr>
        <w:t xml:space="preserve">   </w:t>
      </w:r>
      <w:r>
        <w:rPr>
          <w:color w:val="C8A24B"/>
          <w:sz w:val="20"/>
          <w:szCs w:val="20"/>
          <w:rtl/>
        </w:rPr>
        <w:t>المباني وتصنيف الغرف النظيفة</w:t>
      </w:r>
    </w:p>
    <w:p w14:paraId="2104FED4" w14:textId="77777777" w:rsidR="00CD5946" w:rsidRDefault="00000000">
      <w:pPr>
        <w:spacing w:after="40" w:line="266" w:lineRule="auto"/>
        <w:ind w:left="300" w:hanging="300"/>
      </w:pPr>
      <w:r>
        <w:rPr>
          <w:rFonts w:ascii="Arial" w:eastAsia="Arial" w:hAnsi="Arial"/>
          <w:b/>
          <w:bCs/>
          <w:color w:val="15512F"/>
        </w:rPr>
        <w:t xml:space="preserve">4.1  </w:t>
      </w:r>
      <w:r>
        <w:rPr>
          <w:rFonts w:ascii="Arial" w:eastAsia="Arial" w:hAnsi="Arial"/>
          <w:color w:val="1A1A1A"/>
        </w:rPr>
        <w:t>Cleanrooms and clean-air equipment shall be classified in accordance with ISO 14644-1 and qualified for a defined cleanliness state. The grades and their typical activities are: Grade A — the critical zone for high-risk operations (for example aseptic filling, making connections, aseptic additions); Grade B — the background for Grade A in aseptic processing; Grades C and D — clean areas for less critical stages or for the preparation of terminally sterilised products.</w:t>
      </w:r>
    </w:p>
    <w:p w14:paraId="57B0CC34"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تُصنّف الغرف النظيفة ومعدّات الهواء النظيف وفق </w:t>
      </w:r>
      <w:r>
        <w:rPr>
          <w:rFonts w:ascii="Arial" w:eastAsia="Arial" w:hAnsi="Arial"/>
          <w:color w:val="333333"/>
          <w:sz w:val="20"/>
          <w:szCs w:val="20"/>
        </w:rPr>
        <w:t>ISO</w:t>
      </w:r>
      <w:r>
        <w:rPr>
          <w:rFonts w:ascii="Arial" w:eastAsia="Arial" w:hAnsi="Arial"/>
          <w:color w:val="333333"/>
          <w:sz w:val="20"/>
          <w:szCs w:val="20"/>
          <w:rtl/>
        </w:rPr>
        <w:t xml:space="preserve"> ⁦</w:t>
      </w:r>
      <w:r>
        <w:rPr>
          <w:rFonts w:ascii="Arial" w:eastAsia="Arial" w:hAnsi="Arial"/>
          <w:color w:val="333333"/>
          <w:sz w:val="20"/>
          <w:szCs w:val="20"/>
        </w:rPr>
        <w:t>14644-1</w:t>
      </w:r>
      <w:r>
        <w:rPr>
          <w:rFonts w:ascii="Arial" w:eastAsia="Arial" w:hAnsi="Arial"/>
          <w:color w:val="333333"/>
          <w:sz w:val="20"/>
          <w:szCs w:val="20"/>
          <w:rtl/>
        </w:rPr>
        <w:t xml:space="preserve">⁩ وتُؤهّل لحالة نظافة محدّدة. والدرجات: الدرجة </w:t>
      </w:r>
      <w:r>
        <w:rPr>
          <w:rFonts w:ascii="Arial" w:eastAsia="Arial" w:hAnsi="Arial"/>
          <w:color w:val="333333"/>
          <w:sz w:val="20"/>
          <w:szCs w:val="20"/>
        </w:rPr>
        <w:t>A</w:t>
      </w:r>
      <w:r>
        <w:rPr>
          <w:rFonts w:ascii="Arial" w:eastAsia="Arial" w:hAnsi="Arial"/>
          <w:color w:val="333333"/>
          <w:sz w:val="20"/>
          <w:szCs w:val="20"/>
          <w:rtl/>
        </w:rPr>
        <w:t xml:space="preserve"> المنطقة الحرجة للعمليات عالية الخطورة (كالتعبئة العقيمة والتوصيلات)؛ والدرجة </w:t>
      </w:r>
      <w:r>
        <w:rPr>
          <w:rFonts w:ascii="Arial" w:eastAsia="Arial" w:hAnsi="Arial"/>
          <w:color w:val="333333"/>
          <w:sz w:val="20"/>
          <w:szCs w:val="20"/>
        </w:rPr>
        <w:t>B</w:t>
      </w:r>
      <w:r>
        <w:rPr>
          <w:rFonts w:ascii="Arial" w:eastAsia="Arial" w:hAnsi="Arial"/>
          <w:color w:val="333333"/>
          <w:sz w:val="20"/>
          <w:szCs w:val="20"/>
          <w:rtl/>
        </w:rPr>
        <w:t xml:space="preserve"> الخلفية للدرجة </w:t>
      </w:r>
      <w:r>
        <w:rPr>
          <w:rFonts w:ascii="Arial" w:eastAsia="Arial" w:hAnsi="Arial"/>
          <w:color w:val="333333"/>
          <w:sz w:val="20"/>
          <w:szCs w:val="20"/>
        </w:rPr>
        <w:t>A</w:t>
      </w:r>
      <w:r>
        <w:rPr>
          <w:rFonts w:ascii="Arial" w:eastAsia="Arial" w:hAnsi="Arial"/>
          <w:color w:val="333333"/>
          <w:sz w:val="20"/>
          <w:szCs w:val="20"/>
          <w:rtl/>
        </w:rPr>
        <w:t xml:space="preserve"> في المعالجة العقيمة؛ والدرجتان </w:t>
      </w:r>
      <w:r>
        <w:rPr>
          <w:rFonts w:ascii="Arial" w:eastAsia="Arial" w:hAnsi="Arial"/>
          <w:color w:val="333333"/>
          <w:sz w:val="20"/>
          <w:szCs w:val="20"/>
        </w:rPr>
        <w:t>C</w:t>
      </w:r>
      <w:r>
        <w:rPr>
          <w:rFonts w:ascii="Arial" w:eastAsia="Arial" w:hAnsi="Arial"/>
          <w:color w:val="333333"/>
          <w:sz w:val="20"/>
          <w:szCs w:val="20"/>
          <w:rtl/>
        </w:rPr>
        <w:t xml:space="preserve"> و</w:t>
      </w:r>
      <w:r>
        <w:rPr>
          <w:rFonts w:ascii="Arial" w:eastAsia="Arial" w:hAnsi="Arial"/>
          <w:color w:val="333333"/>
          <w:sz w:val="20"/>
          <w:szCs w:val="20"/>
        </w:rPr>
        <w:t>D</w:t>
      </w:r>
      <w:r>
        <w:rPr>
          <w:rFonts w:ascii="Arial" w:eastAsia="Arial" w:hAnsi="Arial"/>
          <w:color w:val="333333"/>
          <w:sz w:val="20"/>
          <w:szCs w:val="20"/>
          <w:rtl/>
        </w:rPr>
        <w:t xml:space="preserve"> مناطق نظيفة لمراحل أقل حرجة أو لتحضير المنتجات المعقّمة نهائيّاً.</w:t>
      </w:r>
      <w:r>
        <w:rPr>
          <w:rFonts w:ascii="Arial" w:eastAsia="Arial" w:hAnsi="Arial"/>
          <w:b/>
          <w:bCs/>
          <w:color w:val="15512F"/>
          <w:sz w:val="20"/>
          <w:szCs w:val="20"/>
          <w:rtl/>
        </w:rPr>
        <w:t xml:space="preserve">  ⁦</w:t>
      </w:r>
      <w:r>
        <w:rPr>
          <w:rFonts w:ascii="Arial" w:eastAsia="Arial" w:hAnsi="Arial"/>
          <w:b/>
          <w:bCs/>
          <w:color w:val="15512F"/>
          <w:sz w:val="20"/>
          <w:szCs w:val="20"/>
        </w:rPr>
        <w:t>4.1</w:t>
      </w:r>
      <w:r>
        <w:rPr>
          <w:rFonts w:ascii="Arial" w:eastAsia="Arial" w:hAnsi="Arial"/>
          <w:b/>
          <w:bCs/>
          <w:color w:val="15512F"/>
          <w:sz w:val="20"/>
          <w:szCs w:val="20"/>
          <w:rtl/>
        </w:rPr>
        <w:t>⁩</w:t>
      </w:r>
    </w:p>
    <w:p w14:paraId="3496C1C8" w14:textId="77777777" w:rsidR="00CD5946" w:rsidRDefault="00000000">
      <w:pPr>
        <w:spacing w:after="40"/>
      </w:pPr>
      <w:r>
        <w:rPr>
          <w:rFonts w:ascii="Arial" w:eastAsia="Arial" w:hAnsi="Arial"/>
          <w:b/>
          <w:bCs/>
          <w:color w:val="15512F"/>
          <w:sz w:val="18"/>
          <w:szCs w:val="18"/>
        </w:rPr>
        <w:lastRenderedPageBreak/>
        <w:t xml:space="preserve">Table 1 — Maximum permitted total particle concentration for classification (per m³) (Annex 1 2022, Table 1) · </w:t>
      </w:r>
      <w:r>
        <w:rPr>
          <w:rFonts w:ascii="Arial" w:eastAsia="Arial" w:hAnsi="Arial"/>
          <w:b/>
          <w:bCs/>
          <w:color w:val="15512F"/>
          <w:sz w:val="18"/>
          <w:szCs w:val="18"/>
          <w:rtl/>
        </w:rPr>
        <w:t xml:space="preserve">جدول </w:t>
      </w:r>
      <w:r>
        <w:rPr>
          <w:rFonts w:ascii="Arial" w:eastAsia="Arial" w:hAnsi="Arial"/>
          <w:b/>
          <w:bCs/>
          <w:color w:val="15512F"/>
          <w:sz w:val="18"/>
          <w:szCs w:val="18"/>
        </w:rPr>
        <w:t>1</w:t>
      </w:r>
      <w:r>
        <w:rPr>
          <w:rFonts w:ascii="Arial" w:eastAsia="Arial" w:hAnsi="Arial"/>
          <w:b/>
          <w:bCs/>
          <w:color w:val="15512F"/>
          <w:sz w:val="18"/>
          <w:szCs w:val="18"/>
          <w:rtl/>
        </w:rPr>
        <w:t xml:space="preserve"> — الحد الأقصى لتركيز الجسيمات</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1500"/>
        <w:gridCol w:w="2620"/>
        <w:gridCol w:w="2620"/>
        <w:gridCol w:w="2620"/>
      </w:tblGrid>
      <w:tr w:rsidR="00CD5946" w14:paraId="32275EE4" w14:textId="77777777">
        <w:trPr>
          <w:tblHeader/>
        </w:trPr>
        <w:tc>
          <w:tcPr>
            <w:tcW w:w="1500" w:type="dxa"/>
            <w:tcBorders>
              <w:top w:val="single" w:sz="2" w:space="0" w:color="BFC9C0"/>
              <w:left w:val="single" w:sz="2" w:space="0" w:color="BFC9C0"/>
              <w:bottom w:val="single" w:sz="2" w:space="0" w:color="BFC9C0"/>
              <w:right w:val="single" w:sz="2" w:space="0" w:color="BFC9C0"/>
            </w:tcBorders>
            <w:shd w:val="clear" w:color="auto" w:fill="0E5A50"/>
          </w:tcPr>
          <w:p w14:paraId="1694D5CC" w14:textId="77777777" w:rsidR="00CD5946" w:rsidRDefault="00000000">
            <w:pPr>
              <w:spacing w:after="0"/>
            </w:pPr>
            <w:r>
              <w:rPr>
                <w:rFonts w:ascii="Arial" w:eastAsia="Arial" w:hAnsi="Arial"/>
                <w:b/>
                <w:bCs/>
                <w:color w:val="FFFFFF"/>
                <w:sz w:val="18"/>
                <w:szCs w:val="18"/>
              </w:rPr>
              <w:t xml:space="preserve">Grade / </w:t>
            </w:r>
            <w:r>
              <w:rPr>
                <w:rFonts w:ascii="Arial" w:eastAsia="Arial" w:hAnsi="Arial"/>
                <w:b/>
                <w:bCs/>
                <w:color w:val="FFFFFF"/>
                <w:sz w:val="18"/>
                <w:szCs w:val="18"/>
                <w:rtl/>
              </w:rPr>
              <w:t>الدرجة</w:t>
            </w:r>
          </w:p>
        </w:tc>
        <w:tc>
          <w:tcPr>
            <w:tcW w:w="2620" w:type="dxa"/>
            <w:tcBorders>
              <w:top w:val="single" w:sz="2" w:space="0" w:color="BFC9C0"/>
              <w:left w:val="single" w:sz="2" w:space="0" w:color="BFC9C0"/>
              <w:bottom w:val="single" w:sz="2" w:space="0" w:color="BFC9C0"/>
              <w:right w:val="single" w:sz="2" w:space="0" w:color="BFC9C0"/>
            </w:tcBorders>
            <w:shd w:val="clear" w:color="auto" w:fill="0E5A50"/>
          </w:tcPr>
          <w:p w14:paraId="66DAB92A" w14:textId="77777777" w:rsidR="00CD5946" w:rsidRDefault="00000000">
            <w:pPr>
              <w:spacing w:after="0"/>
            </w:pPr>
            <w:r>
              <w:rPr>
                <w:rFonts w:ascii="Arial" w:eastAsia="Arial" w:hAnsi="Arial"/>
                <w:b/>
                <w:bCs/>
                <w:color w:val="FFFFFF"/>
                <w:sz w:val="18"/>
                <w:szCs w:val="18"/>
              </w:rPr>
              <w:t>≥ 0.5 µm at rest</w:t>
            </w:r>
          </w:p>
        </w:tc>
        <w:tc>
          <w:tcPr>
            <w:tcW w:w="2620" w:type="dxa"/>
            <w:tcBorders>
              <w:top w:val="single" w:sz="2" w:space="0" w:color="BFC9C0"/>
              <w:left w:val="single" w:sz="2" w:space="0" w:color="BFC9C0"/>
              <w:bottom w:val="single" w:sz="2" w:space="0" w:color="BFC9C0"/>
              <w:right w:val="single" w:sz="2" w:space="0" w:color="BFC9C0"/>
            </w:tcBorders>
            <w:shd w:val="clear" w:color="auto" w:fill="0E5A50"/>
          </w:tcPr>
          <w:p w14:paraId="6FFE7A17" w14:textId="77777777" w:rsidR="00CD5946" w:rsidRDefault="00000000">
            <w:pPr>
              <w:spacing w:after="0"/>
            </w:pPr>
            <w:r>
              <w:rPr>
                <w:rFonts w:ascii="Arial" w:eastAsia="Arial" w:hAnsi="Arial"/>
                <w:b/>
                <w:bCs/>
                <w:color w:val="FFFFFF"/>
                <w:sz w:val="18"/>
                <w:szCs w:val="18"/>
              </w:rPr>
              <w:t>≥ 0.5 µm in operation</w:t>
            </w:r>
          </w:p>
        </w:tc>
        <w:tc>
          <w:tcPr>
            <w:tcW w:w="2620" w:type="dxa"/>
            <w:tcBorders>
              <w:top w:val="single" w:sz="2" w:space="0" w:color="BFC9C0"/>
              <w:left w:val="single" w:sz="2" w:space="0" w:color="BFC9C0"/>
              <w:bottom w:val="single" w:sz="2" w:space="0" w:color="BFC9C0"/>
              <w:right w:val="single" w:sz="2" w:space="0" w:color="BFC9C0"/>
            </w:tcBorders>
            <w:shd w:val="clear" w:color="auto" w:fill="0E5A50"/>
          </w:tcPr>
          <w:p w14:paraId="109EAB89" w14:textId="77777777" w:rsidR="00CD5946" w:rsidRDefault="00000000">
            <w:pPr>
              <w:spacing w:after="0"/>
            </w:pPr>
            <w:r>
              <w:rPr>
                <w:rFonts w:ascii="Arial" w:eastAsia="Arial" w:hAnsi="Arial"/>
                <w:b/>
                <w:bCs/>
                <w:color w:val="FFFFFF"/>
                <w:sz w:val="18"/>
                <w:szCs w:val="18"/>
              </w:rPr>
              <w:t>≥ 5 µm</w:t>
            </w:r>
          </w:p>
        </w:tc>
      </w:tr>
      <w:tr w:rsidR="00CD5946" w14:paraId="10A6F988" w14:textId="77777777">
        <w:tc>
          <w:tcPr>
            <w:tcW w:w="1500" w:type="dxa"/>
            <w:tcBorders>
              <w:top w:val="single" w:sz="2" w:space="0" w:color="BFC9C0"/>
              <w:left w:val="single" w:sz="2" w:space="0" w:color="BFC9C0"/>
              <w:bottom w:val="single" w:sz="2" w:space="0" w:color="BFC9C0"/>
              <w:right w:val="single" w:sz="2" w:space="0" w:color="BFC9C0"/>
            </w:tcBorders>
            <w:shd w:val="clear" w:color="auto" w:fill="FFFFFF"/>
          </w:tcPr>
          <w:p w14:paraId="2B702C8B" w14:textId="77777777" w:rsidR="00CD5946" w:rsidRDefault="00000000">
            <w:pPr>
              <w:spacing w:after="0"/>
            </w:pPr>
            <w:r>
              <w:rPr>
                <w:rFonts w:ascii="Arial" w:eastAsia="Arial" w:hAnsi="Arial"/>
                <w:color w:val="1A1A1A"/>
                <w:sz w:val="18"/>
                <w:szCs w:val="18"/>
              </w:rPr>
              <w:t>A</w:t>
            </w:r>
          </w:p>
        </w:tc>
        <w:tc>
          <w:tcPr>
            <w:tcW w:w="2620" w:type="dxa"/>
            <w:tcBorders>
              <w:top w:val="single" w:sz="2" w:space="0" w:color="BFC9C0"/>
              <w:left w:val="single" w:sz="2" w:space="0" w:color="BFC9C0"/>
              <w:bottom w:val="single" w:sz="2" w:space="0" w:color="BFC9C0"/>
              <w:right w:val="single" w:sz="2" w:space="0" w:color="BFC9C0"/>
            </w:tcBorders>
            <w:shd w:val="clear" w:color="auto" w:fill="FFFFFF"/>
          </w:tcPr>
          <w:p w14:paraId="09699090" w14:textId="77777777" w:rsidR="00CD5946" w:rsidRDefault="00000000">
            <w:pPr>
              <w:spacing w:after="0"/>
            </w:pPr>
            <w:r>
              <w:rPr>
                <w:rFonts w:ascii="Arial" w:eastAsia="Arial" w:hAnsi="Arial"/>
                <w:color w:val="1A1A1A"/>
                <w:sz w:val="18"/>
                <w:szCs w:val="18"/>
              </w:rPr>
              <w:t>3 520</w:t>
            </w:r>
          </w:p>
        </w:tc>
        <w:tc>
          <w:tcPr>
            <w:tcW w:w="2620" w:type="dxa"/>
            <w:tcBorders>
              <w:top w:val="single" w:sz="2" w:space="0" w:color="BFC9C0"/>
              <w:left w:val="single" w:sz="2" w:space="0" w:color="BFC9C0"/>
              <w:bottom w:val="single" w:sz="2" w:space="0" w:color="BFC9C0"/>
              <w:right w:val="single" w:sz="2" w:space="0" w:color="BFC9C0"/>
            </w:tcBorders>
            <w:shd w:val="clear" w:color="auto" w:fill="FFFFFF"/>
          </w:tcPr>
          <w:p w14:paraId="31DBA367" w14:textId="77777777" w:rsidR="00CD5946" w:rsidRDefault="00000000">
            <w:pPr>
              <w:spacing w:after="0"/>
            </w:pPr>
            <w:r>
              <w:rPr>
                <w:rFonts w:ascii="Arial" w:eastAsia="Arial" w:hAnsi="Arial"/>
                <w:color w:val="1A1A1A"/>
                <w:sz w:val="18"/>
                <w:szCs w:val="18"/>
              </w:rPr>
              <w:t>3 520</w:t>
            </w:r>
          </w:p>
        </w:tc>
        <w:tc>
          <w:tcPr>
            <w:tcW w:w="2620" w:type="dxa"/>
            <w:tcBorders>
              <w:top w:val="single" w:sz="2" w:space="0" w:color="BFC9C0"/>
              <w:left w:val="single" w:sz="2" w:space="0" w:color="BFC9C0"/>
              <w:bottom w:val="single" w:sz="2" w:space="0" w:color="BFC9C0"/>
              <w:right w:val="single" w:sz="2" w:space="0" w:color="BFC9C0"/>
            </w:tcBorders>
            <w:shd w:val="clear" w:color="auto" w:fill="FFFFFF"/>
          </w:tcPr>
          <w:p w14:paraId="52187E02" w14:textId="77777777" w:rsidR="00CD5946" w:rsidRDefault="00000000">
            <w:pPr>
              <w:spacing w:after="0"/>
            </w:pPr>
            <w:r>
              <w:rPr>
                <w:rFonts w:ascii="Arial" w:eastAsia="Arial" w:hAnsi="Arial"/>
                <w:color w:val="1A1A1A"/>
                <w:sz w:val="18"/>
                <w:szCs w:val="18"/>
              </w:rPr>
              <w:t>not specified (a)</w:t>
            </w:r>
          </w:p>
        </w:tc>
      </w:tr>
      <w:tr w:rsidR="00CD5946" w14:paraId="42D58C35" w14:textId="77777777">
        <w:tc>
          <w:tcPr>
            <w:tcW w:w="1500" w:type="dxa"/>
            <w:tcBorders>
              <w:top w:val="single" w:sz="2" w:space="0" w:color="BFC9C0"/>
              <w:left w:val="single" w:sz="2" w:space="0" w:color="BFC9C0"/>
              <w:bottom w:val="single" w:sz="2" w:space="0" w:color="BFC9C0"/>
              <w:right w:val="single" w:sz="2" w:space="0" w:color="BFC9C0"/>
            </w:tcBorders>
            <w:shd w:val="clear" w:color="auto" w:fill="EEF3F1"/>
          </w:tcPr>
          <w:p w14:paraId="70BF91F9" w14:textId="77777777" w:rsidR="00CD5946" w:rsidRDefault="00000000">
            <w:pPr>
              <w:spacing w:after="0"/>
            </w:pPr>
            <w:r>
              <w:rPr>
                <w:rFonts w:ascii="Arial" w:eastAsia="Arial" w:hAnsi="Arial"/>
                <w:color w:val="1A1A1A"/>
                <w:sz w:val="18"/>
                <w:szCs w:val="18"/>
              </w:rPr>
              <w:t>B</w:t>
            </w:r>
          </w:p>
        </w:tc>
        <w:tc>
          <w:tcPr>
            <w:tcW w:w="2620" w:type="dxa"/>
            <w:tcBorders>
              <w:top w:val="single" w:sz="2" w:space="0" w:color="BFC9C0"/>
              <w:left w:val="single" w:sz="2" w:space="0" w:color="BFC9C0"/>
              <w:bottom w:val="single" w:sz="2" w:space="0" w:color="BFC9C0"/>
              <w:right w:val="single" w:sz="2" w:space="0" w:color="BFC9C0"/>
            </w:tcBorders>
            <w:shd w:val="clear" w:color="auto" w:fill="EEF3F1"/>
          </w:tcPr>
          <w:p w14:paraId="004FE6CF" w14:textId="77777777" w:rsidR="00CD5946" w:rsidRDefault="00000000">
            <w:pPr>
              <w:spacing w:after="0"/>
            </w:pPr>
            <w:r>
              <w:rPr>
                <w:rFonts w:ascii="Arial" w:eastAsia="Arial" w:hAnsi="Arial"/>
                <w:color w:val="1A1A1A"/>
                <w:sz w:val="18"/>
                <w:szCs w:val="18"/>
              </w:rPr>
              <w:t>3 520</w:t>
            </w:r>
          </w:p>
        </w:tc>
        <w:tc>
          <w:tcPr>
            <w:tcW w:w="2620" w:type="dxa"/>
            <w:tcBorders>
              <w:top w:val="single" w:sz="2" w:space="0" w:color="BFC9C0"/>
              <w:left w:val="single" w:sz="2" w:space="0" w:color="BFC9C0"/>
              <w:bottom w:val="single" w:sz="2" w:space="0" w:color="BFC9C0"/>
              <w:right w:val="single" w:sz="2" w:space="0" w:color="BFC9C0"/>
            </w:tcBorders>
            <w:shd w:val="clear" w:color="auto" w:fill="EEF3F1"/>
          </w:tcPr>
          <w:p w14:paraId="145655AA" w14:textId="77777777" w:rsidR="00CD5946" w:rsidRDefault="00000000">
            <w:pPr>
              <w:spacing w:after="0"/>
            </w:pPr>
            <w:r>
              <w:rPr>
                <w:rFonts w:ascii="Arial" w:eastAsia="Arial" w:hAnsi="Arial"/>
                <w:color w:val="1A1A1A"/>
                <w:sz w:val="18"/>
                <w:szCs w:val="18"/>
              </w:rPr>
              <w:t>352 000</w:t>
            </w:r>
          </w:p>
        </w:tc>
        <w:tc>
          <w:tcPr>
            <w:tcW w:w="2620" w:type="dxa"/>
            <w:tcBorders>
              <w:top w:val="single" w:sz="2" w:space="0" w:color="BFC9C0"/>
              <w:left w:val="single" w:sz="2" w:space="0" w:color="BFC9C0"/>
              <w:bottom w:val="single" w:sz="2" w:space="0" w:color="BFC9C0"/>
              <w:right w:val="single" w:sz="2" w:space="0" w:color="BFC9C0"/>
            </w:tcBorders>
            <w:shd w:val="clear" w:color="auto" w:fill="EEF3F1"/>
          </w:tcPr>
          <w:p w14:paraId="4F2112A8" w14:textId="77777777" w:rsidR="00CD5946" w:rsidRDefault="00000000">
            <w:pPr>
              <w:spacing w:after="0"/>
            </w:pPr>
            <w:r>
              <w:rPr>
                <w:rFonts w:ascii="Arial" w:eastAsia="Arial" w:hAnsi="Arial"/>
                <w:color w:val="1A1A1A"/>
                <w:sz w:val="18"/>
                <w:szCs w:val="18"/>
              </w:rPr>
              <w:t>at rest: not specified (a) ; in op ≤ 2 930</w:t>
            </w:r>
          </w:p>
        </w:tc>
      </w:tr>
      <w:tr w:rsidR="00CD5946" w14:paraId="10D34860" w14:textId="77777777">
        <w:tc>
          <w:tcPr>
            <w:tcW w:w="1500" w:type="dxa"/>
            <w:tcBorders>
              <w:top w:val="single" w:sz="2" w:space="0" w:color="BFC9C0"/>
              <w:left w:val="single" w:sz="2" w:space="0" w:color="BFC9C0"/>
              <w:bottom w:val="single" w:sz="2" w:space="0" w:color="BFC9C0"/>
              <w:right w:val="single" w:sz="2" w:space="0" w:color="BFC9C0"/>
            </w:tcBorders>
            <w:shd w:val="clear" w:color="auto" w:fill="FFFFFF"/>
          </w:tcPr>
          <w:p w14:paraId="15709CC1" w14:textId="77777777" w:rsidR="00CD5946" w:rsidRDefault="00000000">
            <w:pPr>
              <w:spacing w:after="0"/>
            </w:pPr>
            <w:r>
              <w:rPr>
                <w:rFonts w:ascii="Arial" w:eastAsia="Arial" w:hAnsi="Arial"/>
                <w:color w:val="1A1A1A"/>
                <w:sz w:val="18"/>
                <w:szCs w:val="18"/>
              </w:rPr>
              <w:t>C</w:t>
            </w:r>
          </w:p>
        </w:tc>
        <w:tc>
          <w:tcPr>
            <w:tcW w:w="2620" w:type="dxa"/>
            <w:tcBorders>
              <w:top w:val="single" w:sz="2" w:space="0" w:color="BFC9C0"/>
              <w:left w:val="single" w:sz="2" w:space="0" w:color="BFC9C0"/>
              <w:bottom w:val="single" w:sz="2" w:space="0" w:color="BFC9C0"/>
              <w:right w:val="single" w:sz="2" w:space="0" w:color="BFC9C0"/>
            </w:tcBorders>
            <w:shd w:val="clear" w:color="auto" w:fill="FFFFFF"/>
          </w:tcPr>
          <w:p w14:paraId="1C3A673D" w14:textId="77777777" w:rsidR="00CD5946" w:rsidRDefault="00000000">
            <w:pPr>
              <w:spacing w:after="0"/>
            </w:pPr>
            <w:r>
              <w:rPr>
                <w:rFonts w:ascii="Arial" w:eastAsia="Arial" w:hAnsi="Arial"/>
                <w:color w:val="1A1A1A"/>
                <w:sz w:val="18"/>
                <w:szCs w:val="18"/>
              </w:rPr>
              <w:t>352 000</w:t>
            </w:r>
          </w:p>
        </w:tc>
        <w:tc>
          <w:tcPr>
            <w:tcW w:w="2620" w:type="dxa"/>
            <w:tcBorders>
              <w:top w:val="single" w:sz="2" w:space="0" w:color="BFC9C0"/>
              <w:left w:val="single" w:sz="2" w:space="0" w:color="BFC9C0"/>
              <w:bottom w:val="single" w:sz="2" w:space="0" w:color="BFC9C0"/>
              <w:right w:val="single" w:sz="2" w:space="0" w:color="BFC9C0"/>
            </w:tcBorders>
            <w:shd w:val="clear" w:color="auto" w:fill="FFFFFF"/>
          </w:tcPr>
          <w:p w14:paraId="079761CF" w14:textId="77777777" w:rsidR="00CD5946" w:rsidRDefault="00000000">
            <w:pPr>
              <w:spacing w:after="0"/>
            </w:pPr>
            <w:r>
              <w:rPr>
                <w:rFonts w:ascii="Arial" w:eastAsia="Arial" w:hAnsi="Arial"/>
                <w:color w:val="1A1A1A"/>
                <w:sz w:val="18"/>
                <w:szCs w:val="18"/>
              </w:rPr>
              <w:t>3 520 000</w:t>
            </w:r>
          </w:p>
        </w:tc>
        <w:tc>
          <w:tcPr>
            <w:tcW w:w="2620" w:type="dxa"/>
            <w:tcBorders>
              <w:top w:val="single" w:sz="2" w:space="0" w:color="BFC9C0"/>
              <w:left w:val="single" w:sz="2" w:space="0" w:color="BFC9C0"/>
              <w:bottom w:val="single" w:sz="2" w:space="0" w:color="BFC9C0"/>
              <w:right w:val="single" w:sz="2" w:space="0" w:color="BFC9C0"/>
            </w:tcBorders>
            <w:shd w:val="clear" w:color="auto" w:fill="FFFFFF"/>
          </w:tcPr>
          <w:p w14:paraId="55900316" w14:textId="77777777" w:rsidR="00CD5946" w:rsidRDefault="00000000">
            <w:pPr>
              <w:spacing w:after="0"/>
            </w:pPr>
            <w:r>
              <w:rPr>
                <w:rFonts w:ascii="Arial" w:eastAsia="Arial" w:hAnsi="Arial"/>
                <w:color w:val="1A1A1A"/>
                <w:sz w:val="18"/>
                <w:szCs w:val="18"/>
              </w:rPr>
              <w:t>at rest ≤ 2 930 ; in op ≤ 29 300</w:t>
            </w:r>
          </w:p>
        </w:tc>
      </w:tr>
      <w:tr w:rsidR="00CD5946" w14:paraId="0CE1F1CB" w14:textId="77777777">
        <w:tc>
          <w:tcPr>
            <w:tcW w:w="1500" w:type="dxa"/>
            <w:tcBorders>
              <w:top w:val="single" w:sz="2" w:space="0" w:color="BFC9C0"/>
              <w:left w:val="single" w:sz="2" w:space="0" w:color="BFC9C0"/>
              <w:bottom w:val="single" w:sz="2" w:space="0" w:color="BFC9C0"/>
              <w:right w:val="single" w:sz="2" w:space="0" w:color="BFC9C0"/>
            </w:tcBorders>
            <w:shd w:val="clear" w:color="auto" w:fill="EEF3F1"/>
          </w:tcPr>
          <w:p w14:paraId="148C3523" w14:textId="77777777" w:rsidR="00CD5946" w:rsidRDefault="00000000">
            <w:pPr>
              <w:spacing w:after="0"/>
            </w:pPr>
            <w:r>
              <w:rPr>
                <w:rFonts w:ascii="Arial" w:eastAsia="Arial" w:hAnsi="Arial"/>
                <w:color w:val="1A1A1A"/>
                <w:sz w:val="18"/>
                <w:szCs w:val="18"/>
              </w:rPr>
              <w:t>D</w:t>
            </w:r>
          </w:p>
        </w:tc>
        <w:tc>
          <w:tcPr>
            <w:tcW w:w="2620" w:type="dxa"/>
            <w:tcBorders>
              <w:top w:val="single" w:sz="2" w:space="0" w:color="BFC9C0"/>
              <w:left w:val="single" w:sz="2" w:space="0" w:color="BFC9C0"/>
              <w:bottom w:val="single" w:sz="2" w:space="0" w:color="BFC9C0"/>
              <w:right w:val="single" w:sz="2" w:space="0" w:color="BFC9C0"/>
            </w:tcBorders>
            <w:shd w:val="clear" w:color="auto" w:fill="EEF3F1"/>
          </w:tcPr>
          <w:p w14:paraId="61DF4446" w14:textId="77777777" w:rsidR="00CD5946" w:rsidRDefault="00000000">
            <w:pPr>
              <w:spacing w:after="0"/>
            </w:pPr>
            <w:r>
              <w:rPr>
                <w:rFonts w:ascii="Arial" w:eastAsia="Arial" w:hAnsi="Arial"/>
                <w:color w:val="1A1A1A"/>
                <w:sz w:val="18"/>
                <w:szCs w:val="18"/>
              </w:rPr>
              <w:t>3 520 000</w:t>
            </w:r>
          </w:p>
        </w:tc>
        <w:tc>
          <w:tcPr>
            <w:tcW w:w="2620" w:type="dxa"/>
            <w:tcBorders>
              <w:top w:val="single" w:sz="2" w:space="0" w:color="BFC9C0"/>
              <w:left w:val="single" w:sz="2" w:space="0" w:color="BFC9C0"/>
              <w:bottom w:val="single" w:sz="2" w:space="0" w:color="BFC9C0"/>
              <w:right w:val="single" w:sz="2" w:space="0" w:color="BFC9C0"/>
            </w:tcBorders>
            <w:shd w:val="clear" w:color="auto" w:fill="EEF3F1"/>
          </w:tcPr>
          <w:p w14:paraId="4D4B12FC" w14:textId="77777777" w:rsidR="00CD5946" w:rsidRDefault="00000000">
            <w:pPr>
              <w:spacing w:after="0"/>
            </w:pPr>
            <w:r>
              <w:rPr>
                <w:rFonts w:ascii="Arial" w:eastAsia="Arial" w:hAnsi="Arial"/>
                <w:color w:val="1A1A1A"/>
                <w:sz w:val="18"/>
                <w:szCs w:val="18"/>
              </w:rPr>
              <w:t>not predetermined</w:t>
            </w:r>
          </w:p>
        </w:tc>
        <w:tc>
          <w:tcPr>
            <w:tcW w:w="2620" w:type="dxa"/>
            <w:tcBorders>
              <w:top w:val="single" w:sz="2" w:space="0" w:color="BFC9C0"/>
              <w:left w:val="single" w:sz="2" w:space="0" w:color="BFC9C0"/>
              <w:bottom w:val="single" w:sz="2" w:space="0" w:color="BFC9C0"/>
              <w:right w:val="single" w:sz="2" w:space="0" w:color="BFC9C0"/>
            </w:tcBorders>
            <w:shd w:val="clear" w:color="auto" w:fill="EEF3F1"/>
          </w:tcPr>
          <w:p w14:paraId="54243A6B" w14:textId="77777777" w:rsidR="00CD5946" w:rsidRDefault="00000000">
            <w:pPr>
              <w:spacing w:after="0"/>
            </w:pPr>
            <w:r>
              <w:rPr>
                <w:rFonts w:ascii="Arial" w:eastAsia="Arial" w:hAnsi="Arial"/>
                <w:color w:val="1A1A1A"/>
                <w:sz w:val="18"/>
                <w:szCs w:val="18"/>
              </w:rPr>
              <w:t>at rest ≤ 29 300 ; in op: not predetermined (b)</w:t>
            </w:r>
          </w:p>
        </w:tc>
      </w:tr>
    </w:tbl>
    <w:p w14:paraId="5305A0D5" w14:textId="77777777" w:rsidR="00CD5946" w:rsidRDefault="00CD5946">
      <w:pPr>
        <w:spacing w:after="40"/>
      </w:pPr>
    </w:p>
    <w:p w14:paraId="19F7EC0A" w14:textId="77777777" w:rsidR="00CD5946" w:rsidRDefault="00000000">
      <w:pPr>
        <w:spacing w:after="40"/>
      </w:pPr>
      <w:r>
        <w:rPr>
          <w:rFonts w:ascii="Arial" w:eastAsia="Arial" w:hAnsi="Arial"/>
          <w:b/>
          <w:bCs/>
          <w:color w:val="15512F"/>
          <w:sz w:val="18"/>
          <w:szCs w:val="18"/>
        </w:rPr>
        <w:t xml:space="preserve">Table 2 — Maximum action limits for viable particle contamination, in operation (Annex 1 2022, Table 6) · </w:t>
      </w:r>
      <w:r>
        <w:rPr>
          <w:rFonts w:ascii="Arial" w:eastAsia="Arial" w:hAnsi="Arial"/>
          <w:b/>
          <w:bCs/>
          <w:color w:val="15512F"/>
          <w:sz w:val="18"/>
          <w:szCs w:val="18"/>
          <w:rtl/>
        </w:rPr>
        <w:t xml:space="preserve">جدول </w:t>
      </w:r>
      <w:r>
        <w:rPr>
          <w:rFonts w:ascii="Arial" w:eastAsia="Arial" w:hAnsi="Arial"/>
          <w:b/>
          <w:bCs/>
          <w:color w:val="15512F"/>
          <w:sz w:val="18"/>
          <w:szCs w:val="18"/>
        </w:rPr>
        <w:t>2</w:t>
      </w:r>
      <w:r>
        <w:rPr>
          <w:rFonts w:ascii="Arial" w:eastAsia="Arial" w:hAnsi="Arial"/>
          <w:b/>
          <w:bCs/>
          <w:color w:val="15512F"/>
          <w:sz w:val="18"/>
          <w:szCs w:val="18"/>
          <w:rtl/>
        </w:rPr>
        <w:t xml:space="preserve"> — الحد الأقصى للتلوث الميكروبي</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1500"/>
        <w:gridCol w:w="2097"/>
        <w:gridCol w:w="2203"/>
        <w:gridCol w:w="1878"/>
        <w:gridCol w:w="1682"/>
      </w:tblGrid>
      <w:tr w:rsidR="00CD5946" w14:paraId="15BE38D9" w14:textId="77777777">
        <w:trPr>
          <w:tblHeader/>
        </w:trPr>
        <w:tc>
          <w:tcPr>
            <w:tcW w:w="1500" w:type="dxa"/>
            <w:tcBorders>
              <w:top w:val="single" w:sz="2" w:space="0" w:color="BFC9C0"/>
              <w:left w:val="single" w:sz="2" w:space="0" w:color="BFC9C0"/>
              <w:bottom w:val="single" w:sz="2" w:space="0" w:color="BFC9C0"/>
              <w:right w:val="single" w:sz="2" w:space="0" w:color="BFC9C0"/>
            </w:tcBorders>
            <w:shd w:val="clear" w:color="auto" w:fill="0E5A50"/>
          </w:tcPr>
          <w:p w14:paraId="5726FB3F" w14:textId="77777777" w:rsidR="00CD5946" w:rsidRDefault="00000000">
            <w:pPr>
              <w:spacing w:after="0"/>
            </w:pPr>
            <w:r>
              <w:rPr>
                <w:rFonts w:ascii="Arial" w:eastAsia="Arial" w:hAnsi="Arial"/>
                <w:b/>
                <w:bCs/>
                <w:color w:val="FFFFFF"/>
                <w:sz w:val="18"/>
                <w:szCs w:val="18"/>
              </w:rPr>
              <w:t>Grade</w:t>
            </w:r>
          </w:p>
        </w:tc>
        <w:tc>
          <w:tcPr>
            <w:tcW w:w="2097" w:type="dxa"/>
            <w:tcBorders>
              <w:top w:val="single" w:sz="2" w:space="0" w:color="BFC9C0"/>
              <w:left w:val="single" w:sz="2" w:space="0" w:color="BFC9C0"/>
              <w:bottom w:val="single" w:sz="2" w:space="0" w:color="BFC9C0"/>
              <w:right w:val="single" w:sz="2" w:space="0" w:color="BFC9C0"/>
            </w:tcBorders>
            <w:shd w:val="clear" w:color="auto" w:fill="0E5A50"/>
          </w:tcPr>
          <w:p w14:paraId="0D8181E5" w14:textId="77777777" w:rsidR="00CD5946" w:rsidRDefault="00000000">
            <w:pPr>
              <w:spacing w:after="0"/>
            </w:pPr>
            <w:r>
              <w:rPr>
                <w:rFonts w:ascii="Arial" w:eastAsia="Arial" w:hAnsi="Arial"/>
                <w:b/>
                <w:bCs/>
                <w:color w:val="FFFFFF"/>
                <w:sz w:val="18"/>
                <w:szCs w:val="18"/>
              </w:rPr>
              <w:t>Air (CFU/m³)</w:t>
            </w:r>
          </w:p>
        </w:tc>
        <w:tc>
          <w:tcPr>
            <w:tcW w:w="2203" w:type="dxa"/>
            <w:tcBorders>
              <w:top w:val="single" w:sz="2" w:space="0" w:color="BFC9C0"/>
              <w:left w:val="single" w:sz="2" w:space="0" w:color="BFC9C0"/>
              <w:bottom w:val="single" w:sz="2" w:space="0" w:color="BFC9C0"/>
              <w:right w:val="single" w:sz="2" w:space="0" w:color="BFC9C0"/>
            </w:tcBorders>
            <w:shd w:val="clear" w:color="auto" w:fill="0E5A50"/>
          </w:tcPr>
          <w:p w14:paraId="3C60F825" w14:textId="77777777" w:rsidR="00CD5946" w:rsidRDefault="00000000">
            <w:pPr>
              <w:spacing w:after="0"/>
            </w:pPr>
            <w:r>
              <w:rPr>
                <w:rFonts w:ascii="Arial" w:eastAsia="Arial" w:hAnsi="Arial"/>
                <w:b/>
                <w:bCs/>
                <w:color w:val="FFFFFF"/>
                <w:sz w:val="18"/>
                <w:szCs w:val="18"/>
              </w:rPr>
              <w:t>Settle ø90 (CFU/4 h)</w:t>
            </w:r>
          </w:p>
        </w:tc>
        <w:tc>
          <w:tcPr>
            <w:tcW w:w="1878" w:type="dxa"/>
            <w:tcBorders>
              <w:top w:val="single" w:sz="2" w:space="0" w:color="BFC9C0"/>
              <w:left w:val="single" w:sz="2" w:space="0" w:color="BFC9C0"/>
              <w:bottom w:val="single" w:sz="2" w:space="0" w:color="BFC9C0"/>
              <w:right w:val="single" w:sz="2" w:space="0" w:color="BFC9C0"/>
            </w:tcBorders>
            <w:shd w:val="clear" w:color="auto" w:fill="0E5A50"/>
          </w:tcPr>
          <w:p w14:paraId="6F1C87FE" w14:textId="77777777" w:rsidR="00CD5946" w:rsidRDefault="00000000">
            <w:pPr>
              <w:spacing w:after="0"/>
            </w:pPr>
            <w:r>
              <w:rPr>
                <w:rFonts w:ascii="Arial" w:eastAsia="Arial" w:hAnsi="Arial"/>
                <w:b/>
                <w:bCs/>
                <w:color w:val="FFFFFF"/>
                <w:sz w:val="18"/>
                <w:szCs w:val="18"/>
              </w:rPr>
              <w:t>Contact ø55 (CFU)</w:t>
            </w:r>
          </w:p>
        </w:tc>
        <w:tc>
          <w:tcPr>
            <w:tcW w:w="1682" w:type="dxa"/>
            <w:tcBorders>
              <w:top w:val="single" w:sz="2" w:space="0" w:color="BFC9C0"/>
              <w:left w:val="single" w:sz="2" w:space="0" w:color="BFC9C0"/>
              <w:bottom w:val="single" w:sz="2" w:space="0" w:color="BFC9C0"/>
              <w:right w:val="single" w:sz="2" w:space="0" w:color="BFC9C0"/>
            </w:tcBorders>
            <w:shd w:val="clear" w:color="auto" w:fill="0E5A50"/>
          </w:tcPr>
          <w:p w14:paraId="349A1256" w14:textId="77777777" w:rsidR="00CD5946" w:rsidRDefault="00000000">
            <w:pPr>
              <w:spacing w:after="0"/>
            </w:pPr>
            <w:r>
              <w:rPr>
                <w:rFonts w:ascii="Arial" w:eastAsia="Arial" w:hAnsi="Arial"/>
                <w:b/>
                <w:bCs/>
                <w:color w:val="FFFFFF"/>
                <w:sz w:val="18"/>
                <w:szCs w:val="18"/>
              </w:rPr>
              <w:t>Glove (CFU)</w:t>
            </w:r>
          </w:p>
        </w:tc>
      </w:tr>
      <w:tr w:rsidR="00CD5946" w14:paraId="12383FBC" w14:textId="77777777">
        <w:tc>
          <w:tcPr>
            <w:tcW w:w="1500" w:type="dxa"/>
            <w:tcBorders>
              <w:top w:val="single" w:sz="2" w:space="0" w:color="BFC9C0"/>
              <w:left w:val="single" w:sz="2" w:space="0" w:color="BFC9C0"/>
              <w:bottom w:val="single" w:sz="2" w:space="0" w:color="BFC9C0"/>
              <w:right w:val="single" w:sz="2" w:space="0" w:color="BFC9C0"/>
            </w:tcBorders>
            <w:shd w:val="clear" w:color="auto" w:fill="FFFFFF"/>
          </w:tcPr>
          <w:p w14:paraId="3D979AE0" w14:textId="77777777" w:rsidR="00CD5946" w:rsidRDefault="00000000">
            <w:pPr>
              <w:spacing w:after="0"/>
            </w:pPr>
            <w:r>
              <w:rPr>
                <w:rFonts w:ascii="Arial" w:eastAsia="Arial" w:hAnsi="Arial"/>
                <w:color w:val="1A1A1A"/>
                <w:sz w:val="18"/>
                <w:szCs w:val="18"/>
              </w:rPr>
              <w:t>A</w:t>
            </w:r>
          </w:p>
        </w:tc>
        <w:tc>
          <w:tcPr>
            <w:tcW w:w="2097" w:type="dxa"/>
            <w:tcBorders>
              <w:top w:val="single" w:sz="2" w:space="0" w:color="BFC9C0"/>
              <w:left w:val="single" w:sz="2" w:space="0" w:color="BFC9C0"/>
              <w:bottom w:val="single" w:sz="2" w:space="0" w:color="BFC9C0"/>
              <w:right w:val="single" w:sz="2" w:space="0" w:color="BFC9C0"/>
            </w:tcBorders>
            <w:shd w:val="clear" w:color="auto" w:fill="FFFFFF"/>
          </w:tcPr>
          <w:p w14:paraId="7C1D4622" w14:textId="77777777" w:rsidR="00CD5946" w:rsidRDefault="00000000">
            <w:pPr>
              <w:spacing w:after="0"/>
            </w:pPr>
            <w:r>
              <w:rPr>
                <w:rFonts w:ascii="Arial" w:eastAsia="Arial" w:hAnsi="Arial"/>
                <w:color w:val="1A1A1A"/>
                <w:sz w:val="18"/>
                <w:szCs w:val="18"/>
              </w:rPr>
              <w:t>no growth</w:t>
            </w:r>
          </w:p>
        </w:tc>
        <w:tc>
          <w:tcPr>
            <w:tcW w:w="2203" w:type="dxa"/>
            <w:tcBorders>
              <w:top w:val="single" w:sz="2" w:space="0" w:color="BFC9C0"/>
              <w:left w:val="single" w:sz="2" w:space="0" w:color="BFC9C0"/>
              <w:bottom w:val="single" w:sz="2" w:space="0" w:color="BFC9C0"/>
              <w:right w:val="single" w:sz="2" w:space="0" w:color="BFC9C0"/>
            </w:tcBorders>
            <w:shd w:val="clear" w:color="auto" w:fill="FFFFFF"/>
          </w:tcPr>
          <w:p w14:paraId="0A18807D" w14:textId="77777777" w:rsidR="00CD5946" w:rsidRDefault="00000000">
            <w:pPr>
              <w:spacing w:after="0"/>
            </w:pPr>
            <w:r>
              <w:rPr>
                <w:rFonts w:ascii="Arial" w:eastAsia="Arial" w:hAnsi="Arial"/>
                <w:color w:val="1A1A1A"/>
                <w:sz w:val="18"/>
                <w:szCs w:val="18"/>
              </w:rPr>
              <w:t>no growth</w:t>
            </w:r>
          </w:p>
        </w:tc>
        <w:tc>
          <w:tcPr>
            <w:tcW w:w="1878" w:type="dxa"/>
            <w:tcBorders>
              <w:top w:val="single" w:sz="2" w:space="0" w:color="BFC9C0"/>
              <w:left w:val="single" w:sz="2" w:space="0" w:color="BFC9C0"/>
              <w:bottom w:val="single" w:sz="2" w:space="0" w:color="BFC9C0"/>
              <w:right w:val="single" w:sz="2" w:space="0" w:color="BFC9C0"/>
            </w:tcBorders>
            <w:shd w:val="clear" w:color="auto" w:fill="FFFFFF"/>
          </w:tcPr>
          <w:p w14:paraId="6905F1E1" w14:textId="77777777" w:rsidR="00CD5946" w:rsidRDefault="00000000">
            <w:pPr>
              <w:spacing w:after="0"/>
            </w:pPr>
            <w:r>
              <w:rPr>
                <w:rFonts w:ascii="Arial" w:eastAsia="Arial" w:hAnsi="Arial"/>
                <w:color w:val="1A1A1A"/>
                <w:sz w:val="18"/>
                <w:szCs w:val="18"/>
              </w:rPr>
              <w:t>no growth</w:t>
            </w:r>
          </w:p>
        </w:tc>
        <w:tc>
          <w:tcPr>
            <w:tcW w:w="1682" w:type="dxa"/>
            <w:tcBorders>
              <w:top w:val="single" w:sz="2" w:space="0" w:color="BFC9C0"/>
              <w:left w:val="single" w:sz="2" w:space="0" w:color="BFC9C0"/>
              <w:bottom w:val="single" w:sz="2" w:space="0" w:color="BFC9C0"/>
              <w:right w:val="single" w:sz="2" w:space="0" w:color="BFC9C0"/>
            </w:tcBorders>
            <w:shd w:val="clear" w:color="auto" w:fill="FFFFFF"/>
          </w:tcPr>
          <w:p w14:paraId="241D46F7" w14:textId="77777777" w:rsidR="00CD5946" w:rsidRDefault="00000000">
            <w:pPr>
              <w:spacing w:after="0"/>
            </w:pPr>
            <w:r>
              <w:rPr>
                <w:rFonts w:ascii="Arial" w:eastAsia="Arial" w:hAnsi="Arial"/>
                <w:color w:val="1A1A1A"/>
                <w:sz w:val="18"/>
                <w:szCs w:val="18"/>
              </w:rPr>
              <w:t>no growth</w:t>
            </w:r>
          </w:p>
        </w:tc>
      </w:tr>
      <w:tr w:rsidR="00CD5946" w14:paraId="54C47119" w14:textId="77777777">
        <w:tc>
          <w:tcPr>
            <w:tcW w:w="1500" w:type="dxa"/>
            <w:tcBorders>
              <w:top w:val="single" w:sz="2" w:space="0" w:color="BFC9C0"/>
              <w:left w:val="single" w:sz="2" w:space="0" w:color="BFC9C0"/>
              <w:bottom w:val="single" w:sz="2" w:space="0" w:color="BFC9C0"/>
              <w:right w:val="single" w:sz="2" w:space="0" w:color="BFC9C0"/>
            </w:tcBorders>
            <w:shd w:val="clear" w:color="auto" w:fill="EEF3F1"/>
          </w:tcPr>
          <w:p w14:paraId="12F1C626" w14:textId="77777777" w:rsidR="00CD5946" w:rsidRDefault="00000000">
            <w:pPr>
              <w:spacing w:after="0"/>
            </w:pPr>
            <w:r>
              <w:rPr>
                <w:rFonts w:ascii="Arial" w:eastAsia="Arial" w:hAnsi="Arial"/>
                <w:color w:val="1A1A1A"/>
                <w:sz w:val="18"/>
                <w:szCs w:val="18"/>
              </w:rPr>
              <w:t>B</w:t>
            </w:r>
          </w:p>
        </w:tc>
        <w:tc>
          <w:tcPr>
            <w:tcW w:w="2097" w:type="dxa"/>
            <w:tcBorders>
              <w:top w:val="single" w:sz="2" w:space="0" w:color="BFC9C0"/>
              <w:left w:val="single" w:sz="2" w:space="0" w:color="BFC9C0"/>
              <w:bottom w:val="single" w:sz="2" w:space="0" w:color="BFC9C0"/>
              <w:right w:val="single" w:sz="2" w:space="0" w:color="BFC9C0"/>
            </w:tcBorders>
            <w:shd w:val="clear" w:color="auto" w:fill="EEF3F1"/>
          </w:tcPr>
          <w:p w14:paraId="604B51C8" w14:textId="77777777" w:rsidR="00CD5946" w:rsidRDefault="00000000">
            <w:pPr>
              <w:spacing w:after="0"/>
            </w:pPr>
            <w:r>
              <w:rPr>
                <w:rFonts w:ascii="Arial" w:eastAsia="Arial" w:hAnsi="Arial"/>
                <w:color w:val="1A1A1A"/>
                <w:sz w:val="18"/>
                <w:szCs w:val="18"/>
              </w:rPr>
              <w:t>10</w:t>
            </w:r>
          </w:p>
        </w:tc>
        <w:tc>
          <w:tcPr>
            <w:tcW w:w="2203" w:type="dxa"/>
            <w:tcBorders>
              <w:top w:val="single" w:sz="2" w:space="0" w:color="BFC9C0"/>
              <w:left w:val="single" w:sz="2" w:space="0" w:color="BFC9C0"/>
              <w:bottom w:val="single" w:sz="2" w:space="0" w:color="BFC9C0"/>
              <w:right w:val="single" w:sz="2" w:space="0" w:color="BFC9C0"/>
            </w:tcBorders>
            <w:shd w:val="clear" w:color="auto" w:fill="EEF3F1"/>
          </w:tcPr>
          <w:p w14:paraId="448D456A" w14:textId="77777777" w:rsidR="00CD5946" w:rsidRDefault="00000000">
            <w:pPr>
              <w:spacing w:after="0"/>
            </w:pPr>
            <w:r>
              <w:rPr>
                <w:rFonts w:ascii="Arial" w:eastAsia="Arial" w:hAnsi="Arial"/>
                <w:color w:val="1A1A1A"/>
                <w:sz w:val="18"/>
                <w:szCs w:val="18"/>
              </w:rPr>
              <w:t>5</w:t>
            </w:r>
          </w:p>
        </w:tc>
        <w:tc>
          <w:tcPr>
            <w:tcW w:w="1878" w:type="dxa"/>
            <w:tcBorders>
              <w:top w:val="single" w:sz="2" w:space="0" w:color="BFC9C0"/>
              <w:left w:val="single" w:sz="2" w:space="0" w:color="BFC9C0"/>
              <w:bottom w:val="single" w:sz="2" w:space="0" w:color="BFC9C0"/>
              <w:right w:val="single" w:sz="2" w:space="0" w:color="BFC9C0"/>
            </w:tcBorders>
            <w:shd w:val="clear" w:color="auto" w:fill="EEF3F1"/>
          </w:tcPr>
          <w:p w14:paraId="7AACD297" w14:textId="77777777" w:rsidR="00CD5946" w:rsidRDefault="00000000">
            <w:pPr>
              <w:spacing w:after="0"/>
            </w:pPr>
            <w:r>
              <w:rPr>
                <w:rFonts w:ascii="Arial" w:eastAsia="Arial" w:hAnsi="Arial"/>
                <w:color w:val="1A1A1A"/>
                <w:sz w:val="18"/>
                <w:szCs w:val="18"/>
              </w:rPr>
              <w:t>5</w:t>
            </w:r>
          </w:p>
        </w:tc>
        <w:tc>
          <w:tcPr>
            <w:tcW w:w="1682" w:type="dxa"/>
            <w:tcBorders>
              <w:top w:val="single" w:sz="2" w:space="0" w:color="BFC9C0"/>
              <w:left w:val="single" w:sz="2" w:space="0" w:color="BFC9C0"/>
              <w:bottom w:val="single" w:sz="2" w:space="0" w:color="BFC9C0"/>
              <w:right w:val="single" w:sz="2" w:space="0" w:color="BFC9C0"/>
            </w:tcBorders>
            <w:shd w:val="clear" w:color="auto" w:fill="EEF3F1"/>
          </w:tcPr>
          <w:p w14:paraId="5317D7F3" w14:textId="77777777" w:rsidR="00CD5946" w:rsidRDefault="00000000">
            <w:pPr>
              <w:spacing w:after="0"/>
            </w:pPr>
            <w:r>
              <w:rPr>
                <w:rFonts w:ascii="Arial" w:eastAsia="Arial" w:hAnsi="Arial"/>
                <w:color w:val="1A1A1A"/>
                <w:sz w:val="18"/>
                <w:szCs w:val="18"/>
              </w:rPr>
              <w:t>5</w:t>
            </w:r>
          </w:p>
        </w:tc>
      </w:tr>
      <w:tr w:rsidR="00CD5946" w14:paraId="3652D73F" w14:textId="77777777">
        <w:tc>
          <w:tcPr>
            <w:tcW w:w="1500" w:type="dxa"/>
            <w:tcBorders>
              <w:top w:val="single" w:sz="2" w:space="0" w:color="BFC9C0"/>
              <w:left w:val="single" w:sz="2" w:space="0" w:color="BFC9C0"/>
              <w:bottom w:val="single" w:sz="2" w:space="0" w:color="BFC9C0"/>
              <w:right w:val="single" w:sz="2" w:space="0" w:color="BFC9C0"/>
            </w:tcBorders>
            <w:shd w:val="clear" w:color="auto" w:fill="FFFFFF"/>
          </w:tcPr>
          <w:p w14:paraId="0F33B489" w14:textId="77777777" w:rsidR="00CD5946" w:rsidRDefault="00000000">
            <w:pPr>
              <w:spacing w:after="0"/>
            </w:pPr>
            <w:r>
              <w:rPr>
                <w:rFonts w:ascii="Arial" w:eastAsia="Arial" w:hAnsi="Arial"/>
                <w:color w:val="1A1A1A"/>
                <w:sz w:val="18"/>
                <w:szCs w:val="18"/>
              </w:rPr>
              <w:t>C</w:t>
            </w:r>
          </w:p>
        </w:tc>
        <w:tc>
          <w:tcPr>
            <w:tcW w:w="2097" w:type="dxa"/>
            <w:tcBorders>
              <w:top w:val="single" w:sz="2" w:space="0" w:color="BFC9C0"/>
              <w:left w:val="single" w:sz="2" w:space="0" w:color="BFC9C0"/>
              <w:bottom w:val="single" w:sz="2" w:space="0" w:color="BFC9C0"/>
              <w:right w:val="single" w:sz="2" w:space="0" w:color="BFC9C0"/>
            </w:tcBorders>
            <w:shd w:val="clear" w:color="auto" w:fill="FFFFFF"/>
          </w:tcPr>
          <w:p w14:paraId="4DA1A730" w14:textId="77777777" w:rsidR="00CD5946" w:rsidRDefault="00000000">
            <w:pPr>
              <w:spacing w:after="0"/>
            </w:pPr>
            <w:r>
              <w:rPr>
                <w:rFonts w:ascii="Arial" w:eastAsia="Arial" w:hAnsi="Arial"/>
                <w:color w:val="1A1A1A"/>
                <w:sz w:val="18"/>
                <w:szCs w:val="18"/>
              </w:rPr>
              <w:t>100</w:t>
            </w:r>
          </w:p>
        </w:tc>
        <w:tc>
          <w:tcPr>
            <w:tcW w:w="2203" w:type="dxa"/>
            <w:tcBorders>
              <w:top w:val="single" w:sz="2" w:space="0" w:color="BFC9C0"/>
              <w:left w:val="single" w:sz="2" w:space="0" w:color="BFC9C0"/>
              <w:bottom w:val="single" w:sz="2" w:space="0" w:color="BFC9C0"/>
              <w:right w:val="single" w:sz="2" w:space="0" w:color="BFC9C0"/>
            </w:tcBorders>
            <w:shd w:val="clear" w:color="auto" w:fill="FFFFFF"/>
          </w:tcPr>
          <w:p w14:paraId="4D97B7D9" w14:textId="77777777" w:rsidR="00CD5946" w:rsidRDefault="00000000">
            <w:pPr>
              <w:spacing w:after="0"/>
            </w:pPr>
            <w:r>
              <w:rPr>
                <w:rFonts w:ascii="Arial" w:eastAsia="Arial" w:hAnsi="Arial"/>
                <w:color w:val="1A1A1A"/>
                <w:sz w:val="18"/>
                <w:szCs w:val="18"/>
              </w:rPr>
              <w:t>50</w:t>
            </w:r>
          </w:p>
        </w:tc>
        <w:tc>
          <w:tcPr>
            <w:tcW w:w="1878" w:type="dxa"/>
            <w:tcBorders>
              <w:top w:val="single" w:sz="2" w:space="0" w:color="BFC9C0"/>
              <w:left w:val="single" w:sz="2" w:space="0" w:color="BFC9C0"/>
              <w:bottom w:val="single" w:sz="2" w:space="0" w:color="BFC9C0"/>
              <w:right w:val="single" w:sz="2" w:space="0" w:color="BFC9C0"/>
            </w:tcBorders>
            <w:shd w:val="clear" w:color="auto" w:fill="FFFFFF"/>
          </w:tcPr>
          <w:p w14:paraId="5074F0C0" w14:textId="77777777" w:rsidR="00CD5946" w:rsidRDefault="00000000">
            <w:pPr>
              <w:spacing w:after="0"/>
            </w:pPr>
            <w:r>
              <w:rPr>
                <w:rFonts w:ascii="Arial" w:eastAsia="Arial" w:hAnsi="Arial"/>
                <w:color w:val="1A1A1A"/>
                <w:sz w:val="18"/>
                <w:szCs w:val="18"/>
              </w:rPr>
              <w:t>25</w:t>
            </w:r>
          </w:p>
        </w:tc>
        <w:tc>
          <w:tcPr>
            <w:tcW w:w="1682" w:type="dxa"/>
            <w:tcBorders>
              <w:top w:val="single" w:sz="2" w:space="0" w:color="BFC9C0"/>
              <w:left w:val="single" w:sz="2" w:space="0" w:color="BFC9C0"/>
              <w:bottom w:val="single" w:sz="2" w:space="0" w:color="BFC9C0"/>
              <w:right w:val="single" w:sz="2" w:space="0" w:color="BFC9C0"/>
            </w:tcBorders>
            <w:shd w:val="clear" w:color="auto" w:fill="FFFFFF"/>
          </w:tcPr>
          <w:p w14:paraId="3144C553" w14:textId="77777777" w:rsidR="00CD5946" w:rsidRDefault="00000000">
            <w:pPr>
              <w:spacing w:after="0"/>
            </w:pPr>
            <w:r>
              <w:rPr>
                <w:rFonts w:ascii="Arial" w:eastAsia="Arial" w:hAnsi="Arial"/>
                <w:color w:val="1A1A1A"/>
                <w:sz w:val="18"/>
                <w:szCs w:val="18"/>
              </w:rPr>
              <w:t>—</w:t>
            </w:r>
          </w:p>
        </w:tc>
      </w:tr>
      <w:tr w:rsidR="00CD5946" w14:paraId="4C4E171C" w14:textId="77777777">
        <w:tc>
          <w:tcPr>
            <w:tcW w:w="1500" w:type="dxa"/>
            <w:tcBorders>
              <w:top w:val="single" w:sz="2" w:space="0" w:color="BFC9C0"/>
              <w:left w:val="single" w:sz="2" w:space="0" w:color="BFC9C0"/>
              <w:bottom w:val="single" w:sz="2" w:space="0" w:color="BFC9C0"/>
              <w:right w:val="single" w:sz="2" w:space="0" w:color="BFC9C0"/>
            </w:tcBorders>
            <w:shd w:val="clear" w:color="auto" w:fill="EEF3F1"/>
          </w:tcPr>
          <w:p w14:paraId="23185A6A" w14:textId="77777777" w:rsidR="00CD5946" w:rsidRDefault="00000000">
            <w:pPr>
              <w:spacing w:after="0"/>
            </w:pPr>
            <w:r>
              <w:rPr>
                <w:rFonts w:ascii="Arial" w:eastAsia="Arial" w:hAnsi="Arial"/>
                <w:color w:val="1A1A1A"/>
                <w:sz w:val="18"/>
                <w:szCs w:val="18"/>
              </w:rPr>
              <w:t>D</w:t>
            </w:r>
          </w:p>
        </w:tc>
        <w:tc>
          <w:tcPr>
            <w:tcW w:w="2097" w:type="dxa"/>
            <w:tcBorders>
              <w:top w:val="single" w:sz="2" w:space="0" w:color="BFC9C0"/>
              <w:left w:val="single" w:sz="2" w:space="0" w:color="BFC9C0"/>
              <w:bottom w:val="single" w:sz="2" w:space="0" w:color="BFC9C0"/>
              <w:right w:val="single" w:sz="2" w:space="0" w:color="BFC9C0"/>
            </w:tcBorders>
            <w:shd w:val="clear" w:color="auto" w:fill="EEF3F1"/>
          </w:tcPr>
          <w:p w14:paraId="785155C4" w14:textId="77777777" w:rsidR="00CD5946" w:rsidRDefault="00000000">
            <w:pPr>
              <w:spacing w:after="0"/>
            </w:pPr>
            <w:r>
              <w:rPr>
                <w:rFonts w:ascii="Arial" w:eastAsia="Arial" w:hAnsi="Arial"/>
                <w:color w:val="1A1A1A"/>
                <w:sz w:val="18"/>
                <w:szCs w:val="18"/>
              </w:rPr>
              <w:t>200</w:t>
            </w:r>
          </w:p>
        </w:tc>
        <w:tc>
          <w:tcPr>
            <w:tcW w:w="2203" w:type="dxa"/>
            <w:tcBorders>
              <w:top w:val="single" w:sz="2" w:space="0" w:color="BFC9C0"/>
              <w:left w:val="single" w:sz="2" w:space="0" w:color="BFC9C0"/>
              <w:bottom w:val="single" w:sz="2" w:space="0" w:color="BFC9C0"/>
              <w:right w:val="single" w:sz="2" w:space="0" w:color="BFC9C0"/>
            </w:tcBorders>
            <w:shd w:val="clear" w:color="auto" w:fill="EEF3F1"/>
          </w:tcPr>
          <w:p w14:paraId="6354486C" w14:textId="77777777" w:rsidR="00CD5946" w:rsidRDefault="00000000">
            <w:pPr>
              <w:spacing w:after="0"/>
            </w:pPr>
            <w:r>
              <w:rPr>
                <w:rFonts w:ascii="Arial" w:eastAsia="Arial" w:hAnsi="Arial"/>
                <w:color w:val="1A1A1A"/>
                <w:sz w:val="18"/>
                <w:szCs w:val="18"/>
              </w:rPr>
              <w:t>100</w:t>
            </w:r>
          </w:p>
        </w:tc>
        <w:tc>
          <w:tcPr>
            <w:tcW w:w="1878" w:type="dxa"/>
            <w:tcBorders>
              <w:top w:val="single" w:sz="2" w:space="0" w:color="BFC9C0"/>
              <w:left w:val="single" w:sz="2" w:space="0" w:color="BFC9C0"/>
              <w:bottom w:val="single" w:sz="2" w:space="0" w:color="BFC9C0"/>
              <w:right w:val="single" w:sz="2" w:space="0" w:color="BFC9C0"/>
            </w:tcBorders>
            <w:shd w:val="clear" w:color="auto" w:fill="EEF3F1"/>
          </w:tcPr>
          <w:p w14:paraId="336B39C4" w14:textId="77777777" w:rsidR="00CD5946" w:rsidRDefault="00000000">
            <w:pPr>
              <w:spacing w:after="0"/>
            </w:pPr>
            <w:r>
              <w:rPr>
                <w:rFonts w:ascii="Arial" w:eastAsia="Arial" w:hAnsi="Arial"/>
                <w:color w:val="1A1A1A"/>
                <w:sz w:val="18"/>
                <w:szCs w:val="18"/>
              </w:rPr>
              <w:t>50</w:t>
            </w:r>
          </w:p>
        </w:tc>
        <w:tc>
          <w:tcPr>
            <w:tcW w:w="1682" w:type="dxa"/>
            <w:tcBorders>
              <w:top w:val="single" w:sz="2" w:space="0" w:color="BFC9C0"/>
              <w:left w:val="single" w:sz="2" w:space="0" w:color="BFC9C0"/>
              <w:bottom w:val="single" w:sz="2" w:space="0" w:color="BFC9C0"/>
              <w:right w:val="single" w:sz="2" w:space="0" w:color="BFC9C0"/>
            </w:tcBorders>
            <w:shd w:val="clear" w:color="auto" w:fill="EEF3F1"/>
          </w:tcPr>
          <w:p w14:paraId="3393E893" w14:textId="77777777" w:rsidR="00CD5946" w:rsidRDefault="00000000">
            <w:pPr>
              <w:spacing w:after="0"/>
            </w:pPr>
            <w:r>
              <w:rPr>
                <w:rFonts w:ascii="Arial" w:eastAsia="Arial" w:hAnsi="Arial"/>
                <w:color w:val="1A1A1A"/>
                <w:sz w:val="18"/>
                <w:szCs w:val="18"/>
              </w:rPr>
              <w:t>—</w:t>
            </w:r>
          </w:p>
        </w:tc>
      </w:tr>
    </w:tbl>
    <w:p w14:paraId="6AD9607D" w14:textId="77777777" w:rsidR="00CD5946" w:rsidRDefault="00000000">
      <w:pPr>
        <w:spacing w:after="40" w:line="266" w:lineRule="auto"/>
        <w:ind w:left="300" w:hanging="300"/>
      </w:pPr>
      <w:r>
        <w:rPr>
          <w:rFonts w:ascii="Arial" w:eastAsia="Arial" w:hAnsi="Arial"/>
          <w:b/>
          <w:bCs/>
          <w:color w:val="15512F"/>
        </w:rPr>
        <w:t xml:space="preserve">4.2  </w:t>
      </w:r>
      <w:r>
        <w:rPr>
          <w:rFonts w:ascii="Arial" w:eastAsia="Arial" w:hAnsi="Arial"/>
          <w:color w:val="1A1A1A"/>
        </w:rPr>
        <w:t>Cleanrooms shall be qualified at defined intervals and after significant change. Qualification (per ISO 14644 and as part of equipment/facility qualification) shall include installed-filter leakage testing, airflow visualisation (smoke) studies demonstrating unidirectional airflow and the absence of ingress to the critical zone, air-pressure-difference verification, air-change rates, recovery testing and, where relevant, containment leak testing. The maximum time interval between re-qualifications shall be justified within the CCS (typically 6 months for Grades A/B and 12 months for Grades C/D).</w:t>
      </w:r>
    </w:p>
    <w:p w14:paraId="30579B04" w14:textId="77777777" w:rsidR="00CD5946" w:rsidRDefault="00000000">
      <w:pPr>
        <w:bidi/>
        <w:spacing w:after="150" w:line="300" w:lineRule="auto"/>
        <w:ind w:right="300" w:hanging="300"/>
        <w:jc w:val="right"/>
      </w:pPr>
      <w:r>
        <w:rPr>
          <w:rFonts w:ascii="Arial" w:eastAsia="Arial" w:hAnsi="Arial"/>
          <w:color w:val="333333"/>
          <w:sz w:val="20"/>
          <w:szCs w:val="20"/>
          <w:rtl/>
        </w:rPr>
        <w:t>تُؤهّل الغرف النظيفة على فترات محدّدة وبعد التغيير الجوهري، وتشمل التأهيل: اختبار تسرّب المرشّحات المُركّبة، ودراسات تصوّر تدفّق الهواء (الدخان) لإثبات التدفّق أحادي الاتجاه، والتحقّق من فروق الضغط، ومعدّلات تغيير الهواء، وزمن الاستعادة. ويُبرّر أقصى فاصل بين عمليات إعادة التأهيل (عادةً ⁦</w:t>
      </w:r>
      <w:r>
        <w:rPr>
          <w:rFonts w:ascii="Arial" w:eastAsia="Arial" w:hAnsi="Arial"/>
          <w:color w:val="333333"/>
          <w:sz w:val="20"/>
          <w:szCs w:val="20"/>
        </w:rPr>
        <w:t>6</w:t>
      </w:r>
      <w:r>
        <w:rPr>
          <w:rFonts w:ascii="Arial" w:eastAsia="Arial" w:hAnsi="Arial"/>
          <w:color w:val="333333"/>
          <w:sz w:val="20"/>
          <w:szCs w:val="20"/>
          <w:rtl/>
        </w:rPr>
        <w:t xml:space="preserve">⁩ أشهر للدرجتين </w:t>
      </w:r>
      <w:r>
        <w:rPr>
          <w:rFonts w:ascii="Arial" w:eastAsia="Arial" w:hAnsi="Arial"/>
          <w:color w:val="333333"/>
          <w:sz w:val="20"/>
          <w:szCs w:val="20"/>
        </w:rPr>
        <w:t>A/B</w:t>
      </w:r>
      <w:r>
        <w:rPr>
          <w:rFonts w:ascii="Arial" w:eastAsia="Arial" w:hAnsi="Arial"/>
          <w:color w:val="333333"/>
          <w:sz w:val="20"/>
          <w:szCs w:val="20"/>
          <w:rtl/>
        </w:rPr>
        <w:t xml:space="preserve"> و⁦</w:t>
      </w:r>
      <w:r>
        <w:rPr>
          <w:rFonts w:ascii="Arial" w:eastAsia="Arial" w:hAnsi="Arial"/>
          <w:color w:val="333333"/>
          <w:sz w:val="20"/>
          <w:szCs w:val="20"/>
        </w:rPr>
        <w:t>12</w:t>
      </w:r>
      <w:r>
        <w:rPr>
          <w:rFonts w:ascii="Arial" w:eastAsia="Arial" w:hAnsi="Arial"/>
          <w:color w:val="333333"/>
          <w:sz w:val="20"/>
          <w:szCs w:val="20"/>
          <w:rtl/>
        </w:rPr>
        <w:t xml:space="preserve">⁩ شهراً لـ </w:t>
      </w:r>
      <w:r>
        <w:rPr>
          <w:rFonts w:ascii="Arial" w:eastAsia="Arial" w:hAnsi="Arial"/>
          <w:color w:val="333333"/>
          <w:sz w:val="20"/>
          <w:szCs w:val="20"/>
        </w:rPr>
        <w:t>C/D</w:t>
      </w:r>
      <w:r>
        <w:rPr>
          <w:rFonts w:ascii="Arial" w:eastAsia="Arial" w:hAnsi="Arial"/>
          <w:color w:val="333333"/>
          <w:sz w:val="20"/>
          <w:szCs w:val="20"/>
          <w:rtl/>
        </w:rPr>
        <w:t>).</w:t>
      </w:r>
      <w:r>
        <w:rPr>
          <w:rFonts w:ascii="Arial" w:eastAsia="Arial" w:hAnsi="Arial"/>
          <w:b/>
          <w:bCs/>
          <w:color w:val="15512F"/>
          <w:sz w:val="20"/>
          <w:szCs w:val="20"/>
          <w:rtl/>
        </w:rPr>
        <w:t xml:space="preserve">  ⁦</w:t>
      </w:r>
      <w:r>
        <w:rPr>
          <w:rFonts w:ascii="Arial" w:eastAsia="Arial" w:hAnsi="Arial"/>
          <w:b/>
          <w:bCs/>
          <w:color w:val="15512F"/>
          <w:sz w:val="20"/>
          <w:szCs w:val="20"/>
        </w:rPr>
        <w:t>4.2</w:t>
      </w:r>
      <w:r>
        <w:rPr>
          <w:rFonts w:ascii="Arial" w:eastAsia="Arial" w:hAnsi="Arial"/>
          <w:b/>
          <w:bCs/>
          <w:color w:val="15512F"/>
          <w:sz w:val="20"/>
          <w:szCs w:val="20"/>
          <w:rtl/>
        </w:rPr>
        <w:t>⁩</w:t>
      </w:r>
    </w:p>
    <w:p w14:paraId="2BE2A8D1" w14:textId="77777777" w:rsidR="00CD5946" w:rsidRDefault="00000000">
      <w:pPr>
        <w:spacing w:after="40" w:line="266" w:lineRule="auto"/>
        <w:ind w:left="300" w:hanging="300"/>
      </w:pPr>
      <w:r>
        <w:rPr>
          <w:rFonts w:ascii="Arial" w:eastAsia="Arial" w:hAnsi="Arial"/>
          <w:b/>
          <w:bCs/>
          <w:color w:val="15512F"/>
        </w:rPr>
        <w:t xml:space="preserve">4.3  </w:t>
      </w:r>
      <w:r>
        <w:rPr>
          <w:rFonts w:ascii="Arial" w:eastAsia="Arial" w:hAnsi="Arial"/>
          <w:color w:val="1A1A1A"/>
        </w:rPr>
        <w:t>Adjacent rooms of different grades shall have an air-pressure difference of a minimum of 10 Pa (guidance value; commonly 10–15 Pa), with air flowing from the higher to the lower grade. The classification of a cleanroom (the particle-count test) shall be clearly differentiated from the in-operation environmental monitoring used for routine assessment; the two have different purposes and acceptance criteria. Where appropriate, airflow direction and pressure-cascade alarms shall be provided and recorded.</w:t>
      </w:r>
    </w:p>
    <w:p w14:paraId="317334E4"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يُحافَظ بين الغرف المتجاورة المختلفة الدرجات على فرق ضغط لا يقلّ عن ⁦10⁩ باسكال (قيمة إرشادية؛ ⁦10–15⁩ باسكال عادةً) مع تدفّق الهواء من الأعلى إلى الأدنى درجةً. ويُفرّق بوضوح بين تصنيف الغرفة (عدّ الجسيمات) والمراقبة البيئية أثناء التشغيل، إذ لكلّ غرضه ومعاييره. وتُوفّر عند الاقتضاء إنذارات اتجاه الهواء وتدرّج الضغط وتُسجّل.  ⁦4.3⁩</w:t>
      </w:r>
    </w:p>
    <w:p w14:paraId="2BC0D5F0" w14:textId="77777777" w:rsidR="00CD5946" w:rsidRDefault="00000000">
      <w:pPr>
        <w:spacing w:after="40" w:line="266" w:lineRule="auto"/>
        <w:ind w:left="300" w:hanging="300"/>
      </w:pPr>
      <w:r>
        <w:rPr>
          <w:rFonts w:ascii="Arial" w:eastAsia="Arial" w:hAnsi="Arial"/>
          <w:b/>
          <w:bCs/>
          <w:color w:val="15512F"/>
        </w:rPr>
        <w:t xml:space="preserve">4.4  </w:t>
      </w:r>
      <w:r>
        <w:rPr>
          <w:rFonts w:ascii="Arial" w:eastAsia="Arial" w:hAnsi="Arial"/>
          <w:color w:val="1A1A1A"/>
        </w:rPr>
        <w:t>Airlocks shall be designed and used to separate areas of different cleanliness and to protect the higher grade. For aseptic processing, personnel and material airlocks should be physically and/or temporally separated; interlocking should normally prevent more than one door being opened at a time. The cleanroom design shall facilitate cleaning, minimise horizontal surfaces and ledges, exclude sinks and drains from Grade A/B, and ensure that the integrity of the classified envelope is maintained.</w:t>
      </w:r>
    </w:p>
    <w:p w14:paraId="1FDC1A20" w14:textId="77777777" w:rsidR="00CD5946" w:rsidRDefault="00000000">
      <w:pPr>
        <w:bidi/>
        <w:spacing w:after="150" w:line="300" w:lineRule="auto"/>
        <w:ind w:right="300" w:hanging="300"/>
        <w:jc w:val="right"/>
      </w:pPr>
      <w:r>
        <w:rPr>
          <w:rFonts w:ascii="Arial" w:eastAsia="Arial" w:hAnsi="Arial"/>
          <w:color w:val="333333"/>
          <w:sz w:val="20"/>
          <w:szCs w:val="20"/>
          <w:rtl/>
        </w:rPr>
        <w:t>تُصمّم الأقفال الهوائية (</w:t>
      </w:r>
      <w:r>
        <w:rPr>
          <w:rFonts w:ascii="Arial" w:eastAsia="Arial" w:hAnsi="Arial"/>
          <w:color w:val="333333"/>
          <w:sz w:val="20"/>
          <w:szCs w:val="20"/>
        </w:rPr>
        <w:t>Airlocks</w:t>
      </w:r>
      <w:r>
        <w:rPr>
          <w:rFonts w:ascii="Arial" w:eastAsia="Arial" w:hAnsi="Arial"/>
          <w:color w:val="333333"/>
          <w:sz w:val="20"/>
          <w:szCs w:val="20"/>
          <w:rtl/>
        </w:rPr>
        <w:t xml:space="preserve">) لفصل المناطق المختلفة النظافة وحماية الدرجة الأعلى. وفي المعالجة العقيمة يُفصَل قفلا الأفراد والمواد مكانيّاً و/أو زمنيّاً، مع تشابُك يمنع فتح أكثر من باب في آن. ويُيسّر التصميم التنظيف، ويقلّل الأسطح الأفقية، ويستبعد الأحواض والمصارف من الدرجتين </w:t>
      </w:r>
      <w:r>
        <w:rPr>
          <w:rFonts w:ascii="Arial" w:eastAsia="Arial" w:hAnsi="Arial"/>
          <w:color w:val="333333"/>
          <w:sz w:val="20"/>
          <w:szCs w:val="20"/>
        </w:rPr>
        <w:t>A/B</w:t>
      </w:r>
      <w:r>
        <w:rPr>
          <w:rFonts w:ascii="Arial" w:eastAsia="Arial" w:hAnsi="Arial"/>
          <w:color w:val="333333"/>
          <w:sz w:val="20"/>
          <w:szCs w:val="20"/>
          <w:rtl/>
        </w:rPr>
        <w:t>.</w:t>
      </w:r>
      <w:r>
        <w:rPr>
          <w:rFonts w:ascii="Arial" w:eastAsia="Arial" w:hAnsi="Arial"/>
          <w:b/>
          <w:bCs/>
          <w:color w:val="15512F"/>
          <w:sz w:val="20"/>
          <w:szCs w:val="20"/>
          <w:rtl/>
        </w:rPr>
        <w:t xml:space="preserve">  ⁦</w:t>
      </w:r>
      <w:r>
        <w:rPr>
          <w:rFonts w:ascii="Arial" w:eastAsia="Arial" w:hAnsi="Arial"/>
          <w:b/>
          <w:bCs/>
          <w:color w:val="15512F"/>
          <w:sz w:val="20"/>
          <w:szCs w:val="20"/>
        </w:rPr>
        <w:t>4.4</w:t>
      </w:r>
      <w:r>
        <w:rPr>
          <w:rFonts w:ascii="Arial" w:eastAsia="Arial" w:hAnsi="Arial"/>
          <w:b/>
          <w:bCs/>
          <w:color w:val="15512F"/>
          <w:sz w:val="20"/>
          <w:szCs w:val="20"/>
          <w:rtl/>
        </w:rPr>
        <w:t>⁩</w:t>
      </w:r>
    </w:p>
    <w:p w14:paraId="59E31178" w14:textId="77777777" w:rsidR="00CD5946" w:rsidRDefault="00000000">
      <w:pPr>
        <w:spacing w:after="40" w:line="266" w:lineRule="auto"/>
        <w:ind w:left="300" w:hanging="300"/>
      </w:pPr>
      <w:r>
        <w:rPr>
          <w:rFonts w:ascii="Arial" w:eastAsia="Arial" w:hAnsi="Arial"/>
          <w:b/>
          <w:bCs/>
          <w:color w:val="15512F"/>
        </w:rPr>
        <w:t xml:space="preserve">4.5  </w:t>
      </w:r>
      <w:r>
        <w:rPr>
          <w:rFonts w:ascii="Arial" w:eastAsia="Arial" w:hAnsi="Arial"/>
          <w:color w:val="1A1A1A"/>
        </w:rPr>
        <w:t xml:space="preserve">Grade A shall be provided with unidirectional airflow at the working position; a guidance velocity of 0.36–0.54 m/s is commonly applied at the point of protection, but the actual velocity shall be established and justified through airflow-visualisation and qualification studies appropriate to the </w:t>
        <w:lastRenderedPageBreak/>
        <w:t>equipment and process, and shall demonstrate the absence of turbulence or air ingress that could compromise the critical zone.</w:t>
      </w:r>
    </w:p>
    <w:p w14:paraId="77220C3F"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تُزوّد الدرجة </w:t>
      </w:r>
      <w:r>
        <w:rPr>
          <w:rFonts w:ascii="Arial" w:eastAsia="Arial" w:hAnsi="Arial"/>
          <w:color w:val="333333"/>
          <w:sz w:val="20"/>
          <w:szCs w:val="20"/>
        </w:rPr>
        <w:t>A</w:t>
      </w:r>
      <w:r>
        <w:rPr>
          <w:rFonts w:ascii="Arial" w:eastAsia="Arial" w:hAnsi="Arial"/>
          <w:color w:val="333333"/>
          <w:sz w:val="20"/>
          <w:szCs w:val="20"/>
          <w:rtl/>
        </w:rPr>
        <w:t xml:space="preserve"> بتدفّق أحادي الاتجاه عند موضع العمل؛ وتُطبّق سرعة إرشادية ⁦</w:t>
      </w:r>
      <w:r>
        <w:rPr>
          <w:rFonts w:ascii="Arial" w:eastAsia="Arial" w:hAnsi="Arial"/>
          <w:color w:val="333333"/>
          <w:sz w:val="20"/>
          <w:szCs w:val="20"/>
        </w:rPr>
        <w:t>0.36–0.54 m/s</w:t>
      </w:r>
      <w:r>
        <w:rPr>
          <w:rFonts w:ascii="Arial" w:eastAsia="Arial" w:hAnsi="Arial"/>
          <w:color w:val="333333"/>
          <w:sz w:val="20"/>
          <w:szCs w:val="20"/>
          <w:rtl/>
        </w:rPr>
        <w:t>⁩ عند نقطة الحماية، على أن تُحدّد السرعة الفعلية وتُبرّر بدراسات تصوّر التدفّق والتأهيل المناسبة، وتُثبت غياب الاضطراب أو دخول الهواء الذي قد يُخلّ بالمنطقة الحرجة.</w:t>
      </w:r>
      <w:r>
        <w:rPr>
          <w:rFonts w:ascii="Arial" w:eastAsia="Arial" w:hAnsi="Arial"/>
          <w:b/>
          <w:bCs/>
          <w:color w:val="15512F"/>
          <w:sz w:val="20"/>
          <w:szCs w:val="20"/>
          <w:rtl/>
        </w:rPr>
        <w:t xml:space="preserve">  ⁦</w:t>
      </w:r>
      <w:r>
        <w:rPr>
          <w:rFonts w:ascii="Arial" w:eastAsia="Arial" w:hAnsi="Arial"/>
          <w:b/>
          <w:bCs/>
          <w:color w:val="15512F"/>
          <w:sz w:val="20"/>
          <w:szCs w:val="20"/>
        </w:rPr>
        <w:t>4.5</w:t>
      </w:r>
      <w:r>
        <w:rPr>
          <w:rFonts w:ascii="Arial" w:eastAsia="Arial" w:hAnsi="Arial"/>
          <w:b/>
          <w:bCs/>
          <w:color w:val="15512F"/>
          <w:sz w:val="20"/>
          <w:szCs w:val="20"/>
          <w:rtl/>
        </w:rPr>
        <w:t>⁩</w:t>
      </w:r>
    </w:p>
    <w:p w14:paraId="703CBD0D" w14:textId="77777777" w:rsidR="00CD5946" w:rsidRDefault="00000000">
      <w:pPr>
        <w:spacing w:after="40" w:line="266" w:lineRule="auto"/>
        <w:ind w:left="300" w:hanging="300"/>
      </w:pPr>
      <w:r>
        <w:rPr>
          <w:rFonts w:ascii="Arial" w:eastAsia="Arial" w:hAnsi="Arial"/>
          <w:b/>
          <w:bCs/>
          <w:color w:val="15512F"/>
        </w:rPr>
        <w:t xml:space="preserve">4.6  </w:t>
      </w:r>
      <w:r>
        <w:rPr>
          <w:rFonts w:ascii="Arial" w:eastAsia="Arial" w:hAnsi="Arial"/>
          <w:color w:val="1A1A1A"/>
        </w:rPr>
        <w:t>Cleaning and disinfection of cleanrooms shall follow validated procedures using agents of demonstrated efficacy; a sporicidal agent shall be included in the rotation at a defined frequency. Disinfectants and detergents used in Grade A and B shall be sterile prior to use. The efficacy of the cleaning and disinfection programme shall be verified by environmental monitoring, and residues shall be controlled.</w:t>
      </w:r>
    </w:p>
    <w:p w14:paraId="652D98C7"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يتبع تنظيف وتطهير الغرف النظيفة إجراءات مُتحقّقة بمواد مُثبتة الفعّالية؛ ويُدرَج عامل مُبيد للأبواغ في الدوران بتواتر محدّد. وتكون المطهّرات والمنظّفات في الدرجتين </w:t>
      </w:r>
      <w:r>
        <w:rPr>
          <w:rFonts w:ascii="Arial" w:eastAsia="Arial" w:hAnsi="Arial"/>
          <w:color w:val="333333"/>
          <w:sz w:val="20"/>
          <w:szCs w:val="20"/>
        </w:rPr>
        <w:t>A</w:t>
      </w:r>
      <w:r>
        <w:rPr>
          <w:rFonts w:ascii="Arial" w:eastAsia="Arial" w:hAnsi="Arial"/>
          <w:color w:val="333333"/>
          <w:sz w:val="20"/>
          <w:szCs w:val="20"/>
          <w:rtl/>
        </w:rPr>
        <w:t xml:space="preserve"> و</w:t>
      </w:r>
      <w:r>
        <w:rPr>
          <w:rFonts w:ascii="Arial" w:eastAsia="Arial" w:hAnsi="Arial"/>
          <w:color w:val="333333"/>
          <w:sz w:val="20"/>
          <w:szCs w:val="20"/>
        </w:rPr>
        <w:t>B</w:t>
      </w:r>
      <w:r>
        <w:rPr>
          <w:rFonts w:ascii="Arial" w:eastAsia="Arial" w:hAnsi="Arial"/>
          <w:color w:val="333333"/>
          <w:sz w:val="20"/>
          <w:szCs w:val="20"/>
          <w:rtl/>
        </w:rPr>
        <w:t xml:space="preserve"> معقّمة قبل الاستخدام. وتُتحقّق فعّالية برنامج التنظيف والتطهير بالمراقبة البيئية، وتُضبط المتبقّيات.</w:t>
      </w:r>
      <w:r>
        <w:rPr>
          <w:rFonts w:ascii="Arial" w:eastAsia="Arial" w:hAnsi="Arial"/>
          <w:b/>
          <w:bCs/>
          <w:color w:val="15512F"/>
          <w:sz w:val="20"/>
          <w:szCs w:val="20"/>
          <w:rtl/>
        </w:rPr>
        <w:t xml:space="preserve">  ⁦</w:t>
      </w:r>
      <w:r>
        <w:rPr>
          <w:rFonts w:ascii="Arial" w:eastAsia="Arial" w:hAnsi="Arial"/>
          <w:b/>
          <w:bCs/>
          <w:color w:val="15512F"/>
          <w:sz w:val="20"/>
          <w:szCs w:val="20"/>
        </w:rPr>
        <w:t>4.6</w:t>
      </w:r>
      <w:r>
        <w:rPr>
          <w:rFonts w:ascii="Arial" w:eastAsia="Arial" w:hAnsi="Arial"/>
          <w:b/>
          <w:bCs/>
          <w:color w:val="15512F"/>
          <w:sz w:val="20"/>
          <w:szCs w:val="20"/>
          <w:rtl/>
        </w:rPr>
        <w:t>⁩</w:t>
      </w:r>
    </w:p>
    <w:p w14:paraId="214AEA47" w14:textId="77777777" w:rsidR="00CD5946" w:rsidRDefault="00000000">
      <w:pPr>
        <w:spacing w:after="40" w:line="266" w:lineRule="auto"/>
        <w:ind w:left="300" w:hanging="300"/>
      </w:pPr>
      <w:r>
        <w:rPr>
          <w:rFonts w:ascii="Arial" w:eastAsia="Arial" w:hAnsi="Arial"/>
          <w:b/>
          <w:bCs/>
          <w:color w:val="15512F"/>
        </w:rPr>
        <w:t xml:space="preserve">4.7  </w:t>
      </w:r>
      <w:r>
        <w:rPr>
          <w:rFonts w:ascii="Arial" w:eastAsia="Arial" w:hAnsi="Arial"/>
          <w:color w:val="1A1A1A"/>
        </w:rPr>
        <w:t>Cleanrooms shall be qualified in defined occupancy states — “as-built”, “at-rest” and “in-operation” — and the state(s) to which each classification and monitoring criterion applies shall be specified. The recovery time to return to the at-rest condition after an in-operation excursion shall be determined during qualification and used to support the CCS.</w:t>
      </w:r>
    </w:p>
    <w:p w14:paraId="520A736B" w14:textId="77777777" w:rsidR="00CD5946" w:rsidRDefault="00000000">
      <w:pPr>
        <w:bidi/>
        <w:spacing w:after="150" w:line="300" w:lineRule="auto"/>
        <w:ind w:right="300" w:hanging="300"/>
        <w:jc w:val="right"/>
      </w:pPr>
      <w:r>
        <w:rPr>
          <w:rFonts w:ascii="Arial" w:eastAsia="Arial" w:hAnsi="Arial"/>
          <w:color w:val="333333"/>
          <w:sz w:val="20"/>
          <w:szCs w:val="20"/>
          <w:rtl/>
        </w:rPr>
        <w:t>تُؤهّل الغرف النظيفة في حالات إشغال محدّدة — "كما شُيّدت"، و"في السكون"، و"أثناء التشغيل" — وتُحدّد الحالة التي ينطبق عليها كل معيار تصنيف ومراقبة. ويُحدّد زمن الاستعادة للعودة إلى حالة السكون بعد التجاوز أثناء التأهيل ويُستخدم لدعم استراتيجية ضبط التلوث.</w:t>
      </w:r>
      <w:r>
        <w:rPr>
          <w:rFonts w:ascii="Arial" w:eastAsia="Arial" w:hAnsi="Arial"/>
          <w:b/>
          <w:bCs/>
          <w:color w:val="15512F"/>
          <w:sz w:val="20"/>
          <w:szCs w:val="20"/>
          <w:rtl/>
        </w:rPr>
        <w:t xml:space="preserve">  ⁦</w:t>
      </w:r>
      <w:r>
        <w:rPr>
          <w:rFonts w:ascii="Arial" w:eastAsia="Arial" w:hAnsi="Arial"/>
          <w:b/>
          <w:bCs/>
          <w:color w:val="15512F"/>
          <w:sz w:val="20"/>
          <w:szCs w:val="20"/>
        </w:rPr>
        <w:t>4.7</w:t>
      </w:r>
      <w:r>
        <w:rPr>
          <w:rFonts w:ascii="Arial" w:eastAsia="Arial" w:hAnsi="Arial"/>
          <w:b/>
          <w:bCs/>
          <w:color w:val="15512F"/>
          <w:sz w:val="20"/>
          <w:szCs w:val="20"/>
          <w:rtl/>
        </w:rPr>
        <w:t>⁩</w:t>
      </w:r>
    </w:p>
    <w:p w14:paraId="75FAB09A" w14:textId="77777777" w:rsidR="00CD5946" w:rsidRDefault="00000000">
      <w:pP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Cleanroom classification (the particle-count test under ISO 14644-1) is a distinct activity from routine environmental monitoring. Table 1 gives the classification limits of Annex 1 (2022): (a) classification including ≥ 5 µm particles may be considered where indicated by the CCS or historical trends; (b) for Grade D, in-operation limits are not predetermined — the manufacturer shall establish them through risk assessment and routine data. Routine monitoring applies the separate limits of Annex 1 (2022) Table 5: Grade A — 3 520 (≥ 0.5 µm) and 29 (≥ 5 µm) per m³ in both states; Grade B — at rest 3 520 and 29, in operation 352 000 and 2 930; Grade C — at rest 352 000 and 2 930, in operation 3 520 000 and 29 300; Grade D — at rest 3 520 000 and 29 300, in operation not predetermined. The ≥ 5 µm monitoring limit is retained as an early-warning indicator: occasional counts in Grade A may be false counts, but consecutive or regular low-level counting shall be investigated.</w:t>
      </w:r>
    </w:p>
    <w:p w14:paraId="2D55F0E4" w14:textId="77777777" w:rsidR="00CD5946" w:rsidRDefault="00000000">
      <w:pPr>
        <w:bidi/>
        <w:spacing w:after="140"/>
        <w:ind w:right="300"/>
        <w:jc w:val="right"/>
      </w:pPr>
      <w:r>
        <w:rPr>
          <w:rFonts w:ascii="Arial" w:eastAsia="Arial" w:hAnsi="Arial"/>
          <w:color w:val="5A5A5A"/>
          <w:sz w:val="18"/>
          <w:szCs w:val="18"/>
          <w:rtl/>
        </w:rPr>
        <w:t xml:space="preserve">تصنيف الغرفة (عدّ الجسيمات وفق ISO ⁦14644-1⁩) نشاط متميّز عن المراقبة البيئية الروتينية. يعطي الجدول ⁦1⁩ حدود التصنيف وفق ملحق ⁦2022⁩: (أ) يجوز إدراج جسيمات ⁦5 µm⁩ في التصنيف حيث تدلّ الاستراتيجية أو الاتجاهات التاريخية؛ (ب) للدرجة D لا تُحدَّد حدود التشغيل مسبقاً بل يضعها المصنّع بتقييم المخاطر. أمّا المراقبة الروتينية فتطبّق حدود الجدول ⁦5⁩ المستقلة: الدرجة A: ⁦3 520⁩ (⁦≥ 0.5 µm⁩) و⁦29⁩ (⁦≥ 5 µm⁩) في الحالتين؛ والدرجة B: في السكون ⁦3 520⁩ و⁦29⁩ وفي التشغيل ⁦352 000⁩ و⁦2 930⁩؛ والدرجة C: في السكون ⁦352 000⁩ و⁦2 930⁩ وفي التشغيل ⁦3 520 000⁩ و⁦29 300⁩؛ والدرجة D: في السكون ⁦3 520 000⁩ و⁦29 300⁩. ويبقى حدّ ⁦5 µm⁩ في المراقبة مؤشّراً مبكّراً؛ فالعدّات العرضية في الدرجة A قد تكون كاذبة، أمّا العدّ المتتالي أو المنتظم فيُحقَّق فيه.  ملاحظة.</w:t>
      </w:r>
    </w:p>
    <w:p w14:paraId="550738DD" w14:textId="77777777" w:rsidR="00CD5946" w:rsidRDefault="00000000">
      <w:pPr>
        <w:pStyle w:val="Heading2"/>
        <w:spacing w:before="220"/>
      </w:pPr>
      <w:bookmarkStart w:id="127" w:name="__RefHeading___Toc9411_1729075678"/>
      <w:bookmarkEnd w:id="127"/>
      <w:r>
        <w:t>5.  Equipment</w:t>
      </w:r>
      <w:r>
        <w:rPr>
          <w:b w:val="0"/>
          <w:bCs w:val="0"/>
          <w:color w:val="1A1A1A"/>
          <w:sz w:val="21"/>
          <w:szCs w:val="21"/>
        </w:rPr>
        <w:t xml:space="preserve">   </w:t>
      </w:r>
      <w:r>
        <w:rPr>
          <w:color w:val="C8A24B"/>
          <w:sz w:val="20"/>
          <w:szCs w:val="20"/>
          <w:rtl/>
        </w:rPr>
        <w:t>المعدّات</w:t>
      </w:r>
    </w:p>
    <w:p w14:paraId="111D4E8E" w14:textId="77777777" w:rsidR="00CD5946" w:rsidRDefault="00000000">
      <w:pPr>
        <w:spacing w:after="40" w:line="266" w:lineRule="auto"/>
        <w:ind w:left="300" w:hanging="300"/>
      </w:pPr>
      <w:r>
        <w:rPr>
          <w:rFonts w:ascii="Arial" w:eastAsia="Arial" w:hAnsi="Arial"/>
          <w:b/>
          <w:bCs/>
          <w:color w:val="15512F"/>
        </w:rPr>
        <w:t xml:space="preserve">5.1  </w:t>
      </w:r>
      <w:r>
        <w:rPr>
          <w:rFonts w:ascii="Arial" w:eastAsia="Arial" w:hAnsi="Arial"/>
          <w:color w:val="1A1A1A"/>
        </w:rPr>
        <w:t>Equipment, including conveyors, shall be designed, installed and qualified so that operations, maintenance, adjustment and monitoring can, as far as possible, be performed from outside the critical zone. A written, detailed description of the equipment and of the relevant utilities shall be available. Equipment that is in contact with the product, or that is critical to sterility assurance, shall be sterilised and used in a manner that protects it from contamination.</w:t>
      </w:r>
    </w:p>
    <w:p w14:paraId="2C5B5004" w14:textId="77777777" w:rsidR="00CD5946" w:rsidRDefault="00000000">
      <w:pPr>
        <w:bidi/>
        <w:spacing w:after="150" w:line="300" w:lineRule="auto"/>
        <w:ind w:right="300" w:hanging="300"/>
        <w:jc w:val="right"/>
      </w:pPr>
      <w:r>
        <w:rPr>
          <w:rFonts w:ascii="Arial" w:eastAsia="Arial" w:hAnsi="Arial"/>
          <w:color w:val="333333"/>
          <w:sz w:val="20"/>
          <w:szCs w:val="20"/>
          <w:rtl/>
        </w:rPr>
        <w:t>تُصمّم وتُركّب وتُؤهّل المعدّات — ومنها النواقل — بحيث يمكن إجراء التشغيل والصيانة والضبط والمراقبة — قدر الإمكان — من خارج المنطقة الحرجة. ويتوفّر وصف مكتوب مفصّل للمعدّات والمرافق. وتُعقّم المعدّات الملامسة للمنتج أو الحرجة لضمان التعقيم وتُستخدم بما يحميها من التلوث.</w:t>
      </w:r>
      <w:r>
        <w:rPr>
          <w:rFonts w:ascii="Arial" w:eastAsia="Arial" w:hAnsi="Arial"/>
          <w:b/>
          <w:bCs/>
          <w:color w:val="15512F"/>
          <w:sz w:val="20"/>
          <w:szCs w:val="20"/>
          <w:rtl/>
        </w:rPr>
        <w:t xml:space="preserve">  ⁦</w:t>
      </w:r>
      <w:r>
        <w:rPr>
          <w:rFonts w:ascii="Arial" w:eastAsia="Arial" w:hAnsi="Arial"/>
          <w:b/>
          <w:bCs/>
          <w:color w:val="15512F"/>
          <w:sz w:val="20"/>
          <w:szCs w:val="20"/>
        </w:rPr>
        <w:t>5.1</w:t>
      </w:r>
      <w:r>
        <w:rPr>
          <w:rFonts w:ascii="Arial" w:eastAsia="Arial" w:hAnsi="Arial"/>
          <w:b/>
          <w:bCs/>
          <w:color w:val="15512F"/>
          <w:sz w:val="20"/>
          <w:szCs w:val="20"/>
          <w:rtl/>
        </w:rPr>
        <w:t>⁩</w:t>
      </w:r>
    </w:p>
    <w:p w14:paraId="4619664B" w14:textId="77777777" w:rsidR="00CD5946" w:rsidRDefault="00000000">
      <w:pPr>
        <w:spacing w:after="40" w:line="266" w:lineRule="auto"/>
        <w:ind w:left="300" w:hanging="300"/>
      </w:pPr>
      <w:r>
        <w:rPr>
          <w:rFonts w:ascii="Arial" w:eastAsia="Arial" w:hAnsi="Arial"/>
          <w:b/>
          <w:bCs/>
          <w:color w:val="15512F"/>
        </w:rPr>
        <w:t xml:space="preserve">5.2  </w:t>
      </w:r>
      <w:r>
        <w:rPr>
          <w:rFonts w:ascii="Arial" w:eastAsia="Arial" w:hAnsi="Arial"/>
          <w:color w:val="1A1A1A"/>
        </w:rPr>
        <w:t>A planned preventive maintenance programme shall be in place. Maintenance, repair and breakdown activities shall be controlled by procedures and recorded, and the affected area shall, where necessary, be cleaned, disinfected and, where appropriate, re-qualified before resuming production. Tools and parts used within Grade A/B shall be dedicated, sterilised or disinfected as appropriate; lubricants and other materials that contact the product shall be sterile or otherwise rendered suitable.</w:t>
      </w:r>
    </w:p>
    <w:p w14:paraId="577637F7"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يُطبّق برنامج صيانة وقائية مخطّط. وتُضبط أعمال الصيانة والإصلاح والأعطال بإجراءات وتُسجّل، وتُنظّف المنطقة المتأثّرة وتُطهّر وتُعاد تأهيلها عند اللزوم قبل استئناف الإنتاج. وتُخصّص الأدوات داخل الدرجتين </w:t>
      </w:r>
      <w:r>
        <w:rPr>
          <w:rFonts w:ascii="Arial" w:eastAsia="Arial" w:hAnsi="Arial"/>
          <w:color w:val="333333"/>
          <w:sz w:val="20"/>
          <w:szCs w:val="20"/>
        </w:rPr>
        <w:t>A/B</w:t>
      </w:r>
      <w:r>
        <w:rPr>
          <w:rFonts w:ascii="Arial" w:eastAsia="Arial" w:hAnsi="Arial"/>
          <w:color w:val="333333"/>
          <w:sz w:val="20"/>
          <w:szCs w:val="20"/>
          <w:rtl/>
        </w:rPr>
        <w:t xml:space="preserve"> وتُعقّم أو تُطهّر، وتكون مواد التزليق الملامسة للمنتج معقّمة أو مناسبة.</w:t>
      </w:r>
      <w:r>
        <w:rPr>
          <w:rFonts w:ascii="Arial" w:eastAsia="Arial" w:hAnsi="Arial"/>
          <w:b/>
          <w:bCs/>
          <w:color w:val="15512F"/>
          <w:sz w:val="20"/>
          <w:szCs w:val="20"/>
          <w:rtl/>
        </w:rPr>
        <w:t xml:space="preserve">  ⁦</w:t>
      </w:r>
      <w:r>
        <w:rPr>
          <w:rFonts w:ascii="Arial" w:eastAsia="Arial" w:hAnsi="Arial"/>
          <w:b/>
          <w:bCs/>
          <w:color w:val="15512F"/>
          <w:sz w:val="20"/>
          <w:szCs w:val="20"/>
        </w:rPr>
        <w:t>5.2</w:t>
      </w:r>
      <w:r>
        <w:rPr>
          <w:rFonts w:ascii="Arial" w:eastAsia="Arial" w:hAnsi="Arial"/>
          <w:b/>
          <w:bCs/>
          <w:color w:val="15512F"/>
          <w:sz w:val="20"/>
          <w:szCs w:val="20"/>
          <w:rtl/>
        </w:rPr>
        <w:t>⁩</w:t>
      </w:r>
    </w:p>
    <w:p w14:paraId="6D4DEE12" w14:textId="77777777" w:rsidR="00CD5946" w:rsidRDefault="00000000">
      <w:pPr>
        <w:spacing w:after="40" w:line="266" w:lineRule="auto"/>
        <w:ind w:left="300" w:hanging="300"/>
      </w:pPr>
      <w:r>
        <w:rPr>
          <w:rFonts w:ascii="Arial" w:eastAsia="Arial" w:hAnsi="Arial"/>
          <w:b/>
          <w:bCs/>
          <w:color w:val="15512F"/>
        </w:rPr>
        <w:t xml:space="preserve">5.3  </w:t>
      </w:r>
      <w:r>
        <w:rPr>
          <w:rFonts w:ascii="Arial" w:eastAsia="Arial" w:hAnsi="Arial"/>
          <w:color w:val="1A1A1A"/>
        </w:rPr>
        <w:t xml:space="preserve">Where equipment is sterilised in place (SIP) or cleaned in place (CIP), the cycles shall be developed, qualified and routinely monitored, with critical parameters (for example temperature, </w:t>
        <w:lastRenderedPageBreak/>
        <w:t>pressure, time, conductivity) recorded. Product-contact equipment that is sterilised separately shall be protected during transfer and shall have a validated maximum hold time before use. Single-use systems shall be qualified for integrity, extractables/leachables and compatibility, and their sterilisation (for example by gamma irradiation) shall be assured by the supplier under a qualified arrangement.</w:t>
      </w:r>
    </w:p>
    <w:p w14:paraId="61B32598" w14:textId="77777777" w:rsidR="00CD5946" w:rsidRDefault="00000000">
      <w:pPr>
        <w:bidi/>
        <w:spacing w:after="150" w:line="300" w:lineRule="auto"/>
        <w:ind w:right="300" w:hanging="300"/>
        <w:jc w:val="right"/>
      </w:pPr>
      <w:r>
        <w:rPr>
          <w:rFonts w:ascii="Arial" w:eastAsia="Arial" w:hAnsi="Arial"/>
          <w:color w:val="333333"/>
          <w:sz w:val="20"/>
          <w:szCs w:val="20"/>
          <w:rtl/>
        </w:rPr>
        <w:t>حيث تُعقّم المعدّات في موضعها (</w:t>
      </w:r>
      <w:r>
        <w:rPr>
          <w:rFonts w:ascii="Arial" w:eastAsia="Arial" w:hAnsi="Arial"/>
          <w:color w:val="333333"/>
          <w:sz w:val="20"/>
          <w:szCs w:val="20"/>
        </w:rPr>
        <w:t>SIP</w:t>
      </w:r>
      <w:r>
        <w:rPr>
          <w:rFonts w:ascii="Arial" w:eastAsia="Arial" w:hAnsi="Arial"/>
          <w:color w:val="333333"/>
          <w:sz w:val="20"/>
          <w:szCs w:val="20"/>
          <w:rtl/>
        </w:rPr>
        <w:t>) أو تُنظّف في موضعها (</w:t>
      </w:r>
      <w:r>
        <w:rPr>
          <w:rFonts w:ascii="Arial" w:eastAsia="Arial" w:hAnsi="Arial"/>
          <w:color w:val="333333"/>
          <w:sz w:val="20"/>
          <w:szCs w:val="20"/>
        </w:rPr>
        <w:t>CIP</w:t>
      </w:r>
      <w:r>
        <w:rPr>
          <w:rFonts w:ascii="Arial" w:eastAsia="Arial" w:hAnsi="Arial"/>
          <w:color w:val="333333"/>
          <w:sz w:val="20"/>
          <w:szCs w:val="20"/>
          <w:rtl/>
        </w:rPr>
        <w:t>) تُطوّر الدورات وتُؤهّل وتُراقَب روتينيّاً مع تسجيل المتغيّرات الحرجة (الحرارة والضغط والزمن والناقلية). وتُحمى المعدّات الملامسة للمنتج المُعقّمة منفصلةً أثناء النقل ولها زمن حفظ أقصى مُتحقّق. وتُؤهّل الأنظمة أحادية الاستخدام للسلامة والمستخلَصات والتوافق، ويُضمن تعقيمها (كالإشعاع غاما) من المورّد ضمن ترتيب مؤهّل.</w:t>
      </w:r>
      <w:r>
        <w:rPr>
          <w:rFonts w:ascii="Arial" w:eastAsia="Arial" w:hAnsi="Arial"/>
          <w:b/>
          <w:bCs/>
          <w:color w:val="15512F"/>
          <w:sz w:val="20"/>
          <w:szCs w:val="20"/>
          <w:rtl/>
        </w:rPr>
        <w:t xml:space="preserve">  ⁦</w:t>
      </w:r>
      <w:r>
        <w:rPr>
          <w:rFonts w:ascii="Arial" w:eastAsia="Arial" w:hAnsi="Arial"/>
          <w:b/>
          <w:bCs/>
          <w:color w:val="15512F"/>
          <w:sz w:val="20"/>
          <w:szCs w:val="20"/>
        </w:rPr>
        <w:t>5.3</w:t>
      </w:r>
      <w:r>
        <w:rPr>
          <w:rFonts w:ascii="Arial" w:eastAsia="Arial" w:hAnsi="Arial"/>
          <w:b/>
          <w:bCs/>
          <w:color w:val="15512F"/>
          <w:sz w:val="20"/>
          <w:szCs w:val="20"/>
          <w:rtl/>
        </w:rPr>
        <w:t>⁩</w:t>
      </w:r>
    </w:p>
    <w:p w14:paraId="30B61834" w14:textId="77777777" w:rsidR="00CD5946" w:rsidRDefault="00000000">
      <w:pPr>
        <w:pStyle w:val="Heading2"/>
        <w:spacing w:before="220"/>
      </w:pPr>
      <w:bookmarkStart w:id="128" w:name="__RefHeading___Toc9413_1729075678"/>
      <w:bookmarkEnd w:id="128"/>
      <w:r>
        <w:t>6.  Barrier technology</w:t>
      </w:r>
      <w:r>
        <w:rPr>
          <w:b w:val="0"/>
          <w:bCs w:val="0"/>
          <w:color w:val="1A1A1A"/>
          <w:sz w:val="21"/>
          <w:szCs w:val="21"/>
        </w:rPr>
        <w:t xml:space="preserve">   </w:t>
      </w:r>
      <w:r>
        <w:rPr>
          <w:color w:val="C8A24B"/>
          <w:sz w:val="20"/>
          <w:szCs w:val="20"/>
          <w:rtl/>
        </w:rPr>
        <w:t>تقنية الحواجز</w:t>
      </w:r>
    </w:p>
    <w:p w14:paraId="54CB5084" w14:textId="77777777" w:rsidR="00CD5946" w:rsidRDefault="00000000">
      <w:pPr>
        <w:spacing w:after="40" w:line="266" w:lineRule="auto"/>
        <w:ind w:left="300" w:hanging="300"/>
      </w:pPr>
      <w:r>
        <w:rPr>
          <w:rFonts w:ascii="Arial" w:eastAsia="Arial" w:hAnsi="Arial"/>
          <w:b/>
          <w:bCs/>
          <w:color w:val="15512F"/>
        </w:rPr>
        <w:t xml:space="preserve">6.1  </w:t>
      </w:r>
      <w:r>
        <w:rPr>
          <w:rFonts w:ascii="Arial" w:eastAsia="Arial" w:hAnsi="Arial"/>
          <w:color w:val="1A1A1A"/>
        </w:rPr>
        <w:t>The use of barrier technologies — Restricted Access Barrier Systems (RABS) or isolators — reduces the need for human intervention in the critical zone and is encouraged. The selection of the technology shall be justified in the CCS. Isolators and the transfer of materials into them (for example via rapid-transfer ports or biodecontamination) shall be designed, qualified and validated to maintain the required air classification and integrity throughout the process.</w:t>
      </w:r>
    </w:p>
    <w:p w14:paraId="16DCB8B0" w14:textId="77777777" w:rsidR="00CD5946" w:rsidRDefault="00000000">
      <w:pPr>
        <w:bidi/>
        <w:spacing w:after="150" w:line="300" w:lineRule="auto"/>
        <w:ind w:right="300" w:hanging="300"/>
        <w:jc w:val="right"/>
      </w:pPr>
      <w:r>
        <w:rPr>
          <w:rFonts w:ascii="Arial" w:eastAsia="Arial" w:hAnsi="Arial"/>
          <w:color w:val="333333"/>
          <w:sz w:val="20"/>
          <w:szCs w:val="20"/>
          <w:rtl/>
        </w:rPr>
        <w:t>يُشجّع استخدام تقنيات الحواجز — أنظمة الحاجز مقيّدة الوصول (</w:t>
      </w:r>
      <w:r>
        <w:rPr>
          <w:rFonts w:ascii="Arial" w:eastAsia="Arial" w:hAnsi="Arial"/>
          <w:color w:val="333333"/>
          <w:sz w:val="20"/>
          <w:szCs w:val="20"/>
        </w:rPr>
        <w:t>RABS</w:t>
      </w:r>
      <w:r>
        <w:rPr>
          <w:rFonts w:ascii="Arial" w:eastAsia="Arial" w:hAnsi="Arial"/>
          <w:color w:val="333333"/>
          <w:sz w:val="20"/>
          <w:szCs w:val="20"/>
          <w:rtl/>
        </w:rPr>
        <w:t>) أو العوازل (</w:t>
      </w:r>
      <w:r>
        <w:rPr>
          <w:rFonts w:ascii="Arial" w:eastAsia="Arial" w:hAnsi="Arial"/>
          <w:color w:val="333333"/>
          <w:sz w:val="20"/>
          <w:szCs w:val="20"/>
        </w:rPr>
        <w:t>Isolators</w:t>
      </w:r>
      <w:r>
        <w:rPr>
          <w:rFonts w:ascii="Arial" w:eastAsia="Arial" w:hAnsi="Arial"/>
          <w:color w:val="333333"/>
          <w:sz w:val="20"/>
          <w:szCs w:val="20"/>
          <w:rtl/>
        </w:rPr>
        <w:t>) — لتقليل تدخّل الإنسان في المنطقة الحرجة، ويُبرّر اختيارها في استراتيجية ضبط التلوث. وتُصمّم العوازل ووسائل نقل المواد إليها (كمنافذ النقل السريع أو إزالة التلوث البيولوجي) وتُؤهّل وتُتحقّق للحفاظ على التصنيف والسلامة.</w:t>
      </w:r>
      <w:r>
        <w:rPr>
          <w:rFonts w:ascii="Arial" w:eastAsia="Arial" w:hAnsi="Arial"/>
          <w:b/>
          <w:bCs/>
          <w:color w:val="15512F"/>
          <w:sz w:val="20"/>
          <w:szCs w:val="20"/>
          <w:rtl/>
        </w:rPr>
        <w:t xml:space="preserve">  ⁦</w:t>
      </w:r>
      <w:r>
        <w:rPr>
          <w:rFonts w:ascii="Arial" w:eastAsia="Arial" w:hAnsi="Arial"/>
          <w:b/>
          <w:bCs/>
          <w:color w:val="15512F"/>
          <w:sz w:val="20"/>
          <w:szCs w:val="20"/>
        </w:rPr>
        <w:t>6.1</w:t>
      </w:r>
      <w:r>
        <w:rPr>
          <w:rFonts w:ascii="Arial" w:eastAsia="Arial" w:hAnsi="Arial"/>
          <w:b/>
          <w:bCs/>
          <w:color w:val="15512F"/>
          <w:sz w:val="20"/>
          <w:szCs w:val="20"/>
          <w:rtl/>
        </w:rPr>
        <w:t>⁩</w:t>
      </w:r>
    </w:p>
    <w:p w14:paraId="2CA5FE85" w14:textId="77777777" w:rsidR="00CD5946" w:rsidRDefault="00000000">
      <w:pPr>
        <w:spacing w:after="40" w:line="266" w:lineRule="auto"/>
        <w:ind w:left="300" w:hanging="300"/>
      </w:pPr>
      <w:r>
        <w:rPr>
          <w:rFonts w:ascii="Arial" w:eastAsia="Arial" w:hAnsi="Arial"/>
          <w:b/>
          <w:bCs/>
          <w:color w:val="15512F"/>
        </w:rPr>
        <w:t xml:space="preserve">6.2  </w:t>
      </w:r>
      <w:r>
        <w:rPr>
          <w:rFonts w:ascii="Arial" w:eastAsia="Arial" w:hAnsi="Arial"/>
          <w:color w:val="1A1A1A"/>
        </w:rPr>
        <w:t>For closed isolators, the background environment shall be at least Grade D; for open isolators, at least Grade C (based on the risk assessment). For RABS used for aseptic processing the background shall be Grade B. Glove systems and, for isolators, the integrity of the enclosure (for example by pressure-hold or leak testing) shall be subject to defined integrity testing at qualified intervals and after intervention. The biodecontamination cycle (for example using vaporised hydrogen peroxide) shall be validated, including distribution and the achievement of a defined log reduction on biological indicators.</w:t>
      </w:r>
    </w:p>
    <w:p w14:paraId="77221233"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للعوازل المغلقة تكون البيئة المحيطة بالدرجة D على الأقل، وللعوازل المفتوحة بالدرجة C على الأقل بحسب تقييم المخاطر؛ ولأنظمة RABS في المعالجة العقيمة تكون البيئة بالدرجة B. وتخضع أنظمة القفّازات وسلامة العازل (باختبار ثبات الضغط أو التسرّب) لاختبارات سلامة محدّدة على فترات مؤهّلة وبعد التدخّل. وتُتحقّق دورة إزالة التلوث (كبخار فوق أكسيد الهيدروجين) بما يشمل التوزيع وتحقيق خفض لوغاريتمي محدّد على المؤشّرات البيولوجية.  ⁦6.2⁩</w:t>
      </w:r>
    </w:p>
    <w:p w14:paraId="71211F38" w14:textId="77777777" w:rsidR="00CD5946" w:rsidRDefault="00000000">
      <w:pPr>
        <w:spacing w:after="40" w:line="266" w:lineRule="auto"/>
        <w:ind w:left="300" w:hanging="300"/>
      </w:pPr>
      <w:r>
        <w:rPr>
          <w:rFonts w:ascii="Arial" w:eastAsia="Arial" w:hAnsi="Arial"/>
          <w:b/>
          <w:bCs/>
          <w:color w:val="15512F"/>
        </w:rPr>
        <w:t xml:space="preserve">6.3  </w:t>
      </w:r>
      <w:r>
        <w:rPr>
          <w:rFonts w:ascii="Arial" w:eastAsia="Arial" w:hAnsi="Arial"/>
          <w:color w:val="1A1A1A"/>
        </w:rPr>
        <w:t>Glove systems on RABS and isolators are a recognised weak point and shall be subject to a defined integrity-testing and replacement programme; physical integrity testing (for example pressure-decay) shall be supplemented by visual inspection and by microbial monitoring of the glove after critical interventions. Any glove breach shall trigger a documented assessment of impact on the affected batch.</w:t>
      </w:r>
    </w:p>
    <w:p w14:paraId="1EB78861"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تُعدّ أنظمة القفّازات في </w:t>
      </w:r>
      <w:r>
        <w:rPr>
          <w:rFonts w:ascii="Arial" w:eastAsia="Arial" w:hAnsi="Arial"/>
          <w:color w:val="333333"/>
          <w:sz w:val="20"/>
          <w:szCs w:val="20"/>
        </w:rPr>
        <w:t>RABS</w:t>
      </w:r>
      <w:r>
        <w:rPr>
          <w:rFonts w:ascii="Arial" w:eastAsia="Arial" w:hAnsi="Arial"/>
          <w:color w:val="333333"/>
          <w:sz w:val="20"/>
          <w:szCs w:val="20"/>
          <w:rtl/>
        </w:rPr>
        <w:t xml:space="preserve"> والعوازل نقطة ضعف معروفة، وتخضع لبرنامج محدّد لاختبار السلامة والاستبدال؛ ويُستكمَل اختبار السلامة الفيزيائي (كانخفاض الضغط) بالفحص البصري والمراقبة الميكروبية بعد التدخّلات الحرجة. ويُثير أيّ خرق للقفّاز تقييماً موثّقاً لأثره على الدفعة.</w:t>
      </w:r>
      <w:r>
        <w:rPr>
          <w:rFonts w:ascii="Arial" w:eastAsia="Arial" w:hAnsi="Arial"/>
          <w:b/>
          <w:bCs/>
          <w:color w:val="15512F"/>
          <w:sz w:val="20"/>
          <w:szCs w:val="20"/>
          <w:rtl/>
        </w:rPr>
        <w:t xml:space="preserve">  ⁦</w:t>
      </w:r>
      <w:r>
        <w:rPr>
          <w:rFonts w:ascii="Arial" w:eastAsia="Arial" w:hAnsi="Arial"/>
          <w:b/>
          <w:bCs/>
          <w:color w:val="15512F"/>
          <w:sz w:val="20"/>
          <w:szCs w:val="20"/>
        </w:rPr>
        <w:t>6.3</w:t>
      </w:r>
      <w:r>
        <w:rPr>
          <w:rFonts w:ascii="Arial" w:eastAsia="Arial" w:hAnsi="Arial"/>
          <w:b/>
          <w:bCs/>
          <w:color w:val="15512F"/>
          <w:sz w:val="20"/>
          <w:szCs w:val="20"/>
          <w:rtl/>
        </w:rPr>
        <w:t>⁩</w:t>
      </w:r>
    </w:p>
    <w:p w14:paraId="01F7AD69" w14:textId="77777777" w:rsidR="00CD5946" w:rsidRDefault="00000000">
      <w:pPr>
        <w:spacing w:after="40" w:line="266" w:lineRule="auto"/>
        <w:ind w:left="300" w:hanging="300"/>
      </w:pPr>
      <w:r>
        <w:rPr>
          <w:rFonts w:ascii="Arial" w:eastAsia="Arial" w:hAnsi="Arial"/>
          <w:b/>
          <w:bCs/>
          <w:color w:val="15512F"/>
        </w:rPr>
        <w:t xml:space="preserve">6.4  </w:t>
      </w:r>
      <w:r>
        <w:rPr>
          <w:rFonts w:ascii="Arial" w:eastAsia="Arial" w:hAnsi="Arial"/>
          <w:color w:val="1A1A1A"/>
        </w:rPr>
        <w:t>For isolators, the internal air classification, the recovery time after a breach of the enclosure and the leak-tightness of the enclosure shall be qualified and periodically verified. The transfer of materials in and out (rapid-transfer ports, mouse-holes, continuous decontamination tunnels) shall be designed to preserve the internal grade and shall be included in the biodecontamination and integrity programme.</w:t>
      </w:r>
    </w:p>
    <w:p w14:paraId="15C44327" w14:textId="77777777" w:rsidR="00CD5946" w:rsidRDefault="00000000">
      <w:pPr>
        <w:bidi/>
        <w:spacing w:after="150" w:line="300" w:lineRule="auto"/>
        <w:ind w:right="300" w:hanging="300"/>
        <w:jc w:val="right"/>
      </w:pPr>
      <w:r>
        <w:rPr>
          <w:rFonts w:ascii="Arial" w:eastAsia="Arial" w:hAnsi="Arial"/>
          <w:color w:val="333333"/>
          <w:sz w:val="20"/>
          <w:szCs w:val="20"/>
          <w:rtl/>
        </w:rPr>
        <w:t>بالنسبة للعوازل يُؤهّل ويُتحقّق دوريّاً التصنيف الداخلي للهواء وزمن الاستعادة بعد خرق العازل وإحكام تسرّبه. وتُصمّم وسائل نقل المواد دخولاً وخروجاً (منافذ النقل السريع، والأنفاق المستمرة لإزالة التلوث) للحفاظ على الدرجة الداخلية، وتُدرَج في برنامج إزالة التلوث والسلامة.</w:t>
      </w:r>
      <w:r>
        <w:rPr>
          <w:rFonts w:ascii="Arial" w:eastAsia="Arial" w:hAnsi="Arial"/>
          <w:b/>
          <w:bCs/>
          <w:color w:val="15512F"/>
          <w:sz w:val="20"/>
          <w:szCs w:val="20"/>
          <w:rtl/>
        </w:rPr>
        <w:t xml:space="preserve">  ⁦</w:t>
      </w:r>
      <w:r>
        <w:rPr>
          <w:rFonts w:ascii="Arial" w:eastAsia="Arial" w:hAnsi="Arial"/>
          <w:b/>
          <w:bCs/>
          <w:color w:val="15512F"/>
          <w:sz w:val="20"/>
          <w:szCs w:val="20"/>
        </w:rPr>
        <w:t>6.4</w:t>
      </w:r>
      <w:r>
        <w:rPr>
          <w:rFonts w:ascii="Arial" w:eastAsia="Arial" w:hAnsi="Arial"/>
          <w:b/>
          <w:bCs/>
          <w:color w:val="15512F"/>
          <w:sz w:val="20"/>
          <w:szCs w:val="20"/>
          <w:rtl/>
        </w:rPr>
        <w:t>⁩</w:t>
      </w:r>
    </w:p>
    <w:p w14:paraId="2550F6E1" w14:textId="77777777" w:rsidR="00CD5946" w:rsidRDefault="00000000">
      <w:pPr>
        <w:pStyle w:val="Heading2"/>
        <w:spacing w:before="220"/>
      </w:pPr>
      <w:bookmarkStart w:id="129" w:name="__RefHeading___Toc9415_1729075678"/>
      <w:bookmarkEnd w:id="129"/>
      <w:r>
        <w:t>7.  Utilities</w:t>
      </w:r>
      <w:r>
        <w:rPr>
          <w:b w:val="0"/>
          <w:bCs w:val="0"/>
          <w:color w:val="1A1A1A"/>
          <w:sz w:val="21"/>
          <w:szCs w:val="21"/>
        </w:rPr>
        <w:t xml:space="preserve">   </w:t>
      </w:r>
      <w:r>
        <w:rPr>
          <w:color w:val="C8A24B"/>
          <w:sz w:val="20"/>
          <w:szCs w:val="20"/>
          <w:rtl/>
        </w:rPr>
        <w:t>المرافق</w:t>
      </w:r>
    </w:p>
    <w:p w14:paraId="2E1BD9B3" w14:textId="77777777" w:rsidR="00CD5946" w:rsidRDefault="00000000">
      <w:pPr>
        <w:spacing w:after="40" w:line="266" w:lineRule="auto"/>
        <w:ind w:left="300" w:hanging="300"/>
      </w:pPr>
      <w:r>
        <w:rPr>
          <w:rFonts w:ascii="Arial" w:eastAsia="Arial" w:hAnsi="Arial"/>
          <w:b/>
          <w:bCs/>
          <w:color w:val="15512F"/>
        </w:rPr>
        <w:lastRenderedPageBreak/>
        <w:t xml:space="preserve">7.1  </w:t>
      </w:r>
      <w:r>
        <w:rPr>
          <w:rFonts w:ascii="Arial" w:eastAsia="Arial" w:hAnsi="Arial"/>
          <w:color w:val="1A1A1A"/>
        </w:rPr>
        <w:t>Utilities that come into contact with the product, or that can influence sterility — in particular water, gases, steam and the HVAC system — shall be designed, installed, qualified and maintained to assure their continued fitness for purpose, and shall be monitored against defined alert and action limits. Pipework, valves and ancillary equipment shall be designed to avoid dead-legs and to permit cleaning, sanitisation and, where required, sterilisation.</w:t>
      </w:r>
    </w:p>
    <w:p w14:paraId="7D7B7832" w14:textId="77777777" w:rsidR="00CD5946" w:rsidRDefault="00000000">
      <w:pPr>
        <w:bidi/>
        <w:spacing w:after="150" w:line="300" w:lineRule="auto"/>
        <w:ind w:right="300" w:hanging="300"/>
        <w:jc w:val="right"/>
      </w:pPr>
      <w:r>
        <w:rPr>
          <w:rFonts w:ascii="Arial" w:eastAsia="Arial" w:hAnsi="Arial"/>
          <w:color w:val="333333"/>
          <w:sz w:val="20"/>
          <w:szCs w:val="20"/>
          <w:rtl/>
        </w:rPr>
        <w:t>تُصمّم وتُؤهّل المرافق الملامسة للمنتج أو المؤثّرة في التعقيم — وخاصةً الماء والغازات والبخار ونظام التكييف — لضمان صلاحيتها المستمرة، وتُراقَب مقابل حدود تنبيه وإجراء محدّدة. وتُصمّم الأنابيب والصمّامات لتجنّب الفروع الميتة ولإتاحة التنظيف والتعقيم.</w:t>
      </w:r>
      <w:r>
        <w:rPr>
          <w:rFonts w:ascii="Arial" w:eastAsia="Arial" w:hAnsi="Arial"/>
          <w:b/>
          <w:bCs/>
          <w:color w:val="15512F"/>
          <w:sz w:val="20"/>
          <w:szCs w:val="20"/>
          <w:rtl/>
        </w:rPr>
        <w:t xml:space="preserve">  ⁦</w:t>
      </w:r>
      <w:r>
        <w:rPr>
          <w:rFonts w:ascii="Arial" w:eastAsia="Arial" w:hAnsi="Arial"/>
          <w:b/>
          <w:bCs/>
          <w:color w:val="15512F"/>
          <w:sz w:val="20"/>
          <w:szCs w:val="20"/>
        </w:rPr>
        <w:t>7.1</w:t>
      </w:r>
      <w:r>
        <w:rPr>
          <w:rFonts w:ascii="Arial" w:eastAsia="Arial" w:hAnsi="Arial"/>
          <w:b/>
          <w:bCs/>
          <w:color w:val="15512F"/>
          <w:sz w:val="20"/>
          <w:szCs w:val="20"/>
          <w:rtl/>
        </w:rPr>
        <w:t>⁩</w:t>
      </w:r>
    </w:p>
    <w:p w14:paraId="04BF2402" w14:textId="77777777" w:rsidR="00CD5946" w:rsidRDefault="00000000">
      <w:pPr>
        <w:spacing w:after="40" w:line="266" w:lineRule="auto"/>
        <w:ind w:left="300" w:hanging="300"/>
      </w:pPr>
      <w:r>
        <w:rPr>
          <w:rFonts w:ascii="Arial" w:eastAsia="Arial" w:hAnsi="Arial"/>
          <w:b/>
          <w:bCs/>
          <w:color w:val="15512F"/>
        </w:rPr>
        <w:t xml:space="preserve">7.2  </w:t>
      </w:r>
      <w:r>
        <w:rPr>
          <w:rFonts w:ascii="Arial" w:eastAsia="Arial" w:hAnsi="Arial"/>
          <w:color w:val="1A1A1A"/>
        </w:rPr>
        <w:t>Water for Injection (WFI) shall be produced, stored and distributed in a manner that prevents microbial growth, for example by maintaining circulation at elevated temperature (typically &gt; 70°C) or by validated alternative means; cold-stored WFI shall be justified and controlled. WFI shall be produced by distillation or by a membrane-based process demonstrated to be equivalent (for example reverse osmosis coupled with electrodeionisation and appropriate downstream steps), as permitted by the applicable pharmacopoeia — see Annex A-WAT. WFI shall comply with the compendial limits: conductivity ≤ 1.3 µS/cm (at 25°C, stage 1), TOC ≤ 0.5 mg/L, endotoxin &lt; 0.25 IU/mL, and a microbial action limit of ≤ 10 CFU/100 mL. Purified Water and other grades shall meet their respective compendial specifications.</w:t>
      </w:r>
    </w:p>
    <w:p w14:paraId="33D50E5C" w14:textId="77777777" w:rsidR="00CD5946" w:rsidRDefault="00000000">
      <w:pPr>
        <w:bidi/>
        <w:spacing w:after="150" w:line="300" w:lineRule="auto"/>
        <w:ind w:right="300" w:hanging="300"/>
        <w:jc w:val="right"/>
      </w:pPr>
      <w:r>
        <w:rPr>
          <w:rFonts w:ascii="Arial" w:eastAsia="Arial" w:hAnsi="Arial"/>
          <w:color w:val="333333"/>
          <w:sz w:val="20"/>
          <w:szCs w:val="20"/>
          <w:rtl/>
        </w:rPr>
        <w:t>يُنتَج ماء الحقن (</w:t>
      </w:r>
      <w:r>
        <w:rPr>
          <w:rFonts w:ascii="Arial" w:eastAsia="Arial" w:hAnsi="Arial"/>
          <w:color w:val="333333"/>
          <w:sz w:val="20"/>
          <w:szCs w:val="20"/>
        </w:rPr>
        <w:t>WFI</w:t>
      </w:r>
      <w:r>
        <w:rPr>
          <w:rFonts w:ascii="Arial" w:eastAsia="Arial" w:hAnsi="Arial"/>
          <w:color w:val="333333"/>
          <w:sz w:val="20"/>
          <w:szCs w:val="20"/>
          <w:rtl/>
        </w:rPr>
        <w:t>) ويُخزّن ويُوزّع بما يمنع النموّ الميكروبي، مثلاً بإدامة الدوران عند حرارة مرتفعة (⁦</w:t>
      </w:r>
      <w:r>
        <w:rPr>
          <w:rFonts w:ascii="Arial" w:eastAsia="Arial" w:hAnsi="Arial"/>
          <w:color w:val="333333"/>
          <w:sz w:val="20"/>
          <w:szCs w:val="20"/>
        </w:rPr>
        <w:t>&gt; 70°</w:t>
      </w:r>
      <w:r>
        <w:rPr>
          <w:rFonts w:ascii="Arial" w:eastAsia="Arial" w:hAnsi="Arial"/>
          <w:color w:val="333333"/>
          <w:sz w:val="20"/>
          <w:szCs w:val="20"/>
          <w:rtl/>
        </w:rPr>
        <w:t xml:space="preserve">⁩م عادةً) أو بوسائل بديلة مُتحقّقة؛ ويُبرّر التخزين البارد ويُضبط. ويُنتَج ماء الحقن بالتقطير أو بعملية غشائية مُثبتة المكافأة (كالتناضح العكسي مع إزالة التأيّن الكهربائية وخطوات لاحقة مناسبة) حيث يجيزها دستور الأدوية، انظر الملحق A-WAT. ويستوفي </w:t>
      </w:r>
      <w:r>
        <w:rPr>
          <w:rFonts w:ascii="Arial" w:eastAsia="Arial" w:hAnsi="Arial"/>
          <w:color w:val="333333"/>
          <w:sz w:val="20"/>
          <w:szCs w:val="20"/>
        </w:rPr>
        <w:t>WFI</w:t>
      </w:r>
      <w:r>
        <w:rPr>
          <w:rFonts w:ascii="Arial" w:eastAsia="Arial" w:hAnsi="Arial"/>
          <w:color w:val="333333"/>
          <w:sz w:val="20"/>
          <w:szCs w:val="20"/>
          <w:rtl/>
        </w:rPr>
        <w:t xml:space="preserve"> الحدود الدستورية: الناقلية ⁦</w:t>
      </w:r>
      <w:r>
        <w:rPr>
          <w:rFonts w:ascii="Arial" w:eastAsia="Arial" w:hAnsi="Arial"/>
          <w:color w:val="333333"/>
          <w:sz w:val="20"/>
          <w:szCs w:val="20"/>
        </w:rPr>
        <w:t>≤ 1.3 µS/cm</w:t>
      </w:r>
      <w:r>
        <w:rPr>
          <w:rFonts w:ascii="Arial" w:eastAsia="Arial" w:hAnsi="Arial"/>
          <w:color w:val="333333"/>
          <w:sz w:val="20"/>
          <w:szCs w:val="20"/>
          <w:rtl/>
        </w:rPr>
        <w:t>⁩، والكربون العضوي الكلي ⁦</w:t>
      </w:r>
      <w:r>
        <w:rPr>
          <w:rFonts w:ascii="Arial" w:eastAsia="Arial" w:hAnsi="Arial"/>
          <w:color w:val="333333"/>
          <w:sz w:val="20"/>
          <w:szCs w:val="20"/>
        </w:rPr>
        <w:t>≤ 0.5 mg/L</w:t>
      </w:r>
      <w:r>
        <w:rPr>
          <w:rFonts w:ascii="Arial" w:eastAsia="Arial" w:hAnsi="Arial"/>
          <w:color w:val="333333"/>
          <w:sz w:val="20"/>
          <w:szCs w:val="20"/>
          <w:rtl/>
        </w:rPr>
        <w:t>⁩، والذيفان ⁦</w:t>
      </w:r>
      <w:r>
        <w:rPr>
          <w:rFonts w:ascii="Arial" w:eastAsia="Arial" w:hAnsi="Arial"/>
          <w:color w:val="333333"/>
          <w:sz w:val="20"/>
          <w:szCs w:val="20"/>
        </w:rPr>
        <w:t>&lt; 0.25 IU/mL</w:t>
      </w:r>
      <w:r>
        <w:rPr>
          <w:rFonts w:ascii="Arial" w:eastAsia="Arial" w:hAnsi="Arial"/>
          <w:color w:val="333333"/>
          <w:sz w:val="20"/>
          <w:szCs w:val="20"/>
          <w:rtl/>
        </w:rPr>
        <w:t>⁩، وحدّ إجراء ميكروبي ⁦</w:t>
      </w:r>
      <w:r>
        <w:rPr>
          <w:rFonts w:ascii="Arial" w:eastAsia="Arial" w:hAnsi="Arial"/>
          <w:color w:val="333333"/>
          <w:sz w:val="20"/>
          <w:szCs w:val="20"/>
        </w:rPr>
        <w:t>≤ 10 CFU/100 mL.</w:t>
      </w:r>
      <w:r>
        <w:rPr>
          <w:rFonts w:ascii="Arial" w:eastAsia="Arial" w:hAnsi="Arial"/>
          <w:color w:val="333333"/>
          <w:sz w:val="20"/>
          <w:szCs w:val="20"/>
          <w:rtl/>
        </w:rPr>
        <w:t>⁩ ويستوفي الماء النقي والدرجات الأخرى مواصفاتها الدستورية.</w:t>
      </w:r>
      <w:r>
        <w:rPr>
          <w:rFonts w:ascii="Arial" w:eastAsia="Arial" w:hAnsi="Arial"/>
          <w:b/>
          <w:bCs/>
          <w:color w:val="15512F"/>
          <w:sz w:val="20"/>
          <w:szCs w:val="20"/>
          <w:rtl/>
        </w:rPr>
        <w:t xml:space="preserve">  ⁦</w:t>
      </w:r>
      <w:r>
        <w:rPr>
          <w:rFonts w:ascii="Arial" w:eastAsia="Arial" w:hAnsi="Arial"/>
          <w:b/>
          <w:bCs/>
          <w:color w:val="15512F"/>
          <w:sz w:val="20"/>
          <w:szCs w:val="20"/>
        </w:rPr>
        <w:t>7.2</w:t>
      </w:r>
      <w:r>
        <w:rPr>
          <w:rFonts w:ascii="Arial" w:eastAsia="Arial" w:hAnsi="Arial"/>
          <w:b/>
          <w:bCs/>
          <w:color w:val="15512F"/>
          <w:sz w:val="20"/>
          <w:szCs w:val="20"/>
          <w:rtl/>
        </w:rPr>
        <w:t>⁩</w:t>
      </w:r>
    </w:p>
    <w:p w14:paraId="0F94AAA7" w14:textId="77777777" w:rsidR="00CD5946" w:rsidRDefault="00000000">
      <w:pPr>
        <w:spacing w:after="40" w:line="266" w:lineRule="auto"/>
        <w:ind w:left="300" w:hanging="300"/>
      </w:pPr>
      <w:r>
        <w:rPr>
          <w:rFonts w:ascii="Arial" w:eastAsia="Arial" w:hAnsi="Arial"/>
          <w:b/>
          <w:bCs/>
          <w:color w:val="15512F"/>
        </w:rPr>
        <w:t xml:space="preserve">7.3  </w:t>
      </w:r>
      <w:r>
        <w:rPr>
          <w:rFonts w:ascii="Arial" w:eastAsia="Arial" w:hAnsi="Arial"/>
          <w:color w:val="1A1A1A"/>
        </w:rPr>
        <w:t>Gases that come into direct contact with the product or primary container surfaces shall be of appropriate chemical, particulate and microbial quality, and shall be filtered through a sterilising-grade filter (nominally 0.22 µm) at the point of use; the integrity of such filters shall be verified. Gas filters and heat exchangers shall be designed and controlled to prevent contamination (for example by maintaining a positive pressure differential or otherwise preventing back-flow of cooling media).</w:t>
      </w:r>
    </w:p>
    <w:p w14:paraId="55638A3B" w14:textId="77777777" w:rsidR="00CD5946" w:rsidRDefault="00000000">
      <w:pPr>
        <w:bidi/>
        <w:spacing w:after="150" w:line="300" w:lineRule="auto"/>
        <w:ind w:right="300" w:hanging="300"/>
        <w:jc w:val="right"/>
      </w:pPr>
      <w:r>
        <w:rPr>
          <w:rFonts w:ascii="Arial" w:eastAsia="Arial" w:hAnsi="Arial"/>
          <w:color w:val="333333"/>
          <w:sz w:val="20"/>
          <w:szCs w:val="20"/>
          <w:rtl/>
        </w:rPr>
        <w:t>تكون الغازات الملامسة مباشرةً للمنتج أو لأسطح العبوة الأولية ذات جودة كيميائية وجسيمية وميكروبية مناسبة، وتُرشّح عبر مرشّح تعقيمي (⁦</w:t>
      </w:r>
      <w:r>
        <w:rPr>
          <w:rFonts w:ascii="Arial" w:eastAsia="Arial" w:hAnsi="Arial"/>
          <w:color w:val="333333"/>
          <w:sz w:val="20"/>
          <w:szCs w:val="20"/>
        </w:rPr>
        <w:t>0.22 µm</w:t>
      </w:r>
      <w:r>
        <w:rPr>
          <w:rFonts w:ascii="Arial" w:eastAsia="Arial" w:hAnsi="Arial"/>
          <w:color w:val="333333"/>
          <w:sz w:val="20"/>
          <w:szCs w:val="20"/>
          <w:rtl/>
        </w:rPr>
        <w:t>⁩ اسميّاً) عند نقطة الاستخدام، ويُتحقّق من سلامة تلك المرشّحات. وتُصمّم مرشّحات الغاز والمبادلات الحرارية لمنع التلوث (بإبقاء فرق ضغط موجب أو منع ارتداد وسيط التبريد).</w:t>
      </w:r>
      <w:r>
        <w:rPr>
          <w:rFonts w:ascii="Arial" w:eastAsia="Arial" w:hAnsi="Arial"/>
          <w:b/>
          <w:bCs/>
          <w:color w:val="15512F"/>
          <w:sz w:val="20"/>
          <w:szCs w:val="20"/>
          <w:rtl/>
        </w:rPr>
        <w:t xml:space="preserve">  ⁦</w:t>
      </w:r>
      <w:r>
        <w:rPr>
          <w:rFonts w:ascii="Arial" w:eastAsia="Arial" w:hAnsi="Arial"/>
          <w:b/>
          <w:bCs/>
          <w:color w:val="15512F"/>
          <w:sz w:val="20"/>
          <w:szCs w:val="20"/>
        </w:rPr>
        <w:t>7.3</w:t>
      </w:r>
      <w:r>
        <w:rPr>
          <w:rFonts w:ascii="Arial" w:eastAsia="Arial" w:hAnsi="Arial"/>
          <w:b/>
          <w:bCs/>
          <w:color w:val="15512F"/>
          <w:sz w:val="20"/>
          <w:szCs w:val="20"/>
          <w:rtl/>
        </w:rPr>
        <w:t>⁩</w:t>
      </w:r>
    </w:p>
    <w:p w14:paraId="66BAD0CC" w14:textId="77777777" w:rsidR="00CD5946" w:rsidRDefault="00000000">
      <w:pPr>
        <w:spacing w:after="40" w:line="266" w:lineRule="auto"/>
        <w:ind w:left="300" w:hanging="300"/>
      </w:pPr>
      <w:r>
        <w:rPr>
          <w:rFonts w:ascii="Arial" w:eastAsia="Arial" w:hAnsi="Arial"/>
          <w:b/>
          <w:bCs/>
          <w:color w:val="15512F"/>
        </w:rPr>
        <w:t xml:space="preserve">7.4  </w:t>
      </w:r>
      <w:r>
        <w:rPr>
          <w:rFonts w:ascii="Arial" w:eastAsia="Arial" w:hAnsi="Arial"/>
          <w:color w:val="1A1A1A"/>
        </w:rPr>
        <w:t>The HVAC system shall provide air of the required quality and classification through appropriately specified filtration (typically terminal HEPA filtration for Grades A–C), with qualified air-change rates, recovery performance, temperature and humidity control, and pressure cascade. Filter integrity (for example DOP/PAO challenge of installed HEPA filters) shall be tested at qualified intervals, and the system shall be monitored continuously for the critical parameters with alarms on excursion.</w:t>
      </w:r>
    </w:p>
    <w:p w14:paraId="27E91A5F"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يُوفّر نظام التكييف هواءً بالجودة والتصنيف المطلوبين عبر ترشيح مناسب (عادةً مرشّحات </w:t>
      </w:r>
      <w:r>
        <w:rPr>
          <w:rFonts w:ascii="Arial" w:eastAsia="Arial" w:hAnsi="Arial"/>
          <w:color w:val="333333"/>
          <w:sz w:val="20"/>
          <w:szCs w:val="20"/>
        </w:rPr>
        <w:t>HEPA</w:t>
      </w:r>
      <w:r>
        <w:rPr>
          <w:rFonts w:ascii="Arial" w:eastAsia="Arial" w:hAnsi="Arial"/>
          <w:color w:val="333333"/>
          <w:sz w:val="20"/>
          <w:szCs w:val="20"/>
          <w:rtl/>
        </w:rPr>
        <w:t xml:space="preserve"> طرفية للدرجات </w:t>
      </w:r>
      <w:r>
        <w:rPr>
          <w:rFonts w:ascii="Arial" w:eastAsia="Arial" w:hAnsi="Arial"/>
          <w:color w:val="333333"/>
          <w:sz w:val="20"/>
          <w:szCs w:val="20"/>
        </w:rPr>
        <w:t>A–C</w:t>
      </w:r>
      <w:r>
        <w:rPr>
          <w:rFonts w:ascii="Arial" w:eastAsia="Arial" w:hAnsi="Arial"/>
          <w:color w:val="333333"/>
          <w:sz w:val="20"/>
          <w:szCs w:val="20"/>
          <w:rtl/>
        </w:rPr>
        <w:t xml:space="preserve">)، بمعدّلات تغيير هواء مؤهّلة وأداء استعادة وضبط للحرارة والرطوبة وتدرّج للضغط. وتُختبر سلامة المرشّحات (بتحدّي </w:t>
      </w:r>
      <w:r>
        <w:rPr>
          <w:rFonts w:ascii="Arial" w:eastAsia="Arial" w:hAnsi="Arial"/>
          <w:color w:val="333333"/>
          <w:sz w:val="20"/>
          <w:szCs w:val="20"/>
        </w:rPr>
        <w:t>DOP/PAO</w:t>
      </w:r>
      <w:r>
        <w:rPr>
          <w:rFonts w:ascii="Arial" w:eastAsia="Arial" w:hAnsi="Arial"/>
          <w:color w:val="333333"/>
          <w:sz w:val="20"/>
          <w:szCs w:val="20"/>
          <w:rtl/>
        </w:rPr>
        <w:t xml:space="preserve"> لمرشّحات </w:t>
      </w:r>
      <w:r>
        <w:rPr>
          <w:rFonts w:ascii="Arial" w:eastAsia="Arial" w:hAnsi="Arial"/>
          <w:color w:val="333333"/>
          <w:sz w:val="20"/>
          <w:szCs w:val="20"/>
        </w:rPr>
        <w:t>HEPA</w:t>
      </w:r>
      <w:r>
        <w:rPr>
          <w:rFonts w:ascii="Arial" w:eastAsia="Arial" w:hAnsi="Arial"/>
          <w:color w:val="333333"/>
          <w:sz w:val="20"/>
          <w:szCs w:val="20"/>
          <w:rtl/>
        </w:rPr>
        <w:t xml:space="preserve"> المُركّبة) على فترات مؤهّلة، ويُراقَب النظام باستمرار للمتغيّرات الحرجة مع إنذارات عند التجاوز.</w:t>
      </w:r>
      <w:r>
        <w:rPr>
          <w:rFonts w:ascii="Arial" w:eastAsia="Arial" w:hAnsi="Arial"/>
          <w:b/>
          <w:bCs/>
          <w:color w:val="15512F"/>
          <w:sz w:val="20"/>
          <w:szCs w:val="20"/>
          <w:rtl/>
        </w:rPr>
        <w:t xml:space="preserve">  ⁦</w:t>
      </w:r>
      <w:r>
        <w:rPr>
          <w:rFonts w:ascii="Arial" w:eastAsia="Arial" w:hAnsi="Arial"/>
          <w:b/>
          <w:bCs/>
          <w:color w:val="15512F"/>
          <w:sz w:val="20"/>
          <w:szCs w:val="20"/>
        </w:rPr>
        <w:t>7.4</w:t>
      </w:r>
      <w:r>
        <w:rPr>
          <w:rFonts w:ascii="Arial" w:eastAsia="Arial" w:hAnsi="Arial"/>
          <w:b/>
          <w:bCs/>
          <w:color w:val="15512F"/>
          <w:sz w:val="20"/>
          <w:szCs w:val="20"/>
          <w:rtl/>
        </w:rPr>
        <w:t>⁩</w:t>
      </w:r>
    </w:p>
    <w:p w14:paraId="34A57672" w14:textId="77777777" w:rsidR="00CD5946" w:rsidRDefault="00000000">
      <w:pPr>
        <w:spacing w:after="40" w:line="266" w:lineRule="auto"/>
        <w:ind w:left="300" w:hanging="300"/>
      </w:pPr>
      <w:r>
        <w:rPr>
          <w:rFonts w:ascii="Arial" w:eastAsia="Arial" w:hAnsi="Arial"/>
          <w:b/>
          <w:bCs/>
          <w:color w:val="15512F"/>
        </w:rPr>
        <w:t xml:space="preserve">7.5  </w:t>
      </w:r>
      <w:r>
        <w:rPr>
          <w:rFonts w:ascii="Arial" w:eastAsia="Arial" w:hAnsi="Arial"/>
          <w:color w:val="1A1A1A"/>
        </w:rPr>
        <w:t>Water and other critical utility systems shall be monitored according to a defined sampling plan with alert and action limits; sampling points, frequency and methods shall be justified and shall include points of use. Trends shall be reviewed, and excursions investigated for impact on product. Pure steam used for sterilisation shall meet the quality required of the condensate (for example WFI quality where in contact with the product or product-contact surfaces).</w:t>
      </w:r>
    </w:p>
    <w:p w14:paraId="4ABDB547"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تُراقَب أنظمة الماء والمرافق الحرجة وفق خطة عينات محدّدة بحدود تنبيه وإجراء؛ وتُبرّر نقاط العينات وتواترها وطرائقها وتشمل نقاط الاستخدام. وتُراجَع الاتجاهات وتُحقّق التجاوزات لأثرها على المنتج. ويستوفي البخار النقي المستخدم للتعقيم جودة المتكثّف المطلوبة (كجودة </w:t>
      </w:r>
      <w:r>
        <w:rPr>
          <w:rFonts w:ascii="Arial" w:eastAsia="Arial" w:hAnsi="Arial"/>
          <w:color w:val="333333"/>
          <w:sz w:val="20"/>
          <w:szCs w:val="20"/>
        </w:rPr>
        <w:t>WFI</w:t>
      </w:r>
      <w:r>
        <w:rPr>
          <w:rFonts w:ascii="Arial" w:eastAsia="Arial" w:hAnsi="Arial"/>
          <w:color w:val="333333"/>
          <w:sz w:val="20"/>
          <w:szCs w:val="20"/>
          <w:rtl/>
        </w:rPr>
        <w:t xml:space="preserve"> عند ملامسة المنتج أو أسطحه).</w:t>
      </w:r>
      <w:r>
        <w:rPr>
          <w:rFonts w:ascii="Arial" w:eastAsia="Arial" w:hAnsi="Arial"/>
          <w:b/>
          <w:bCs/>
          <w:color w:val="15512F"/>
          <w:sz w:val="20"/>
          <w:szCs w:val="20"/>
          <w:rtl/>
        </w:rPr>
        <w:t xml:space="preserve">  ⁦</w:t>
      </w:r>
      <w:r>
        <w:rPr>
          <w:rFonts w:ascii="Arial" w:eastAsia="Arial" w:hAnsi="Arial"/>
          <w:b/>
          <w:bCs/>
          <w:color w:val="15512F"/>
          <w:sz w:val="20"/>
          <w:szCs w:val="20"/>
        </w:rPr>
        <w:t>7.5</w:t>
      </w:r>
      <w:r>
        <w:rPr>
          <w:rFonts w:ascii="Arial" w:eastAsia="Arial" w:hAnsi="Arial"/>
          <w:b/>
          <w:bCs/>
          <w:color w:val="15512F"/>
          <w:sz w:val="20"/>
          <w:szCs w:val="20"/>
          <w:rtl/>
        </w:rPr>
        <w:t>⁩</w:t>
      </w:r>
    </w:p>
    <w:p w14:paraId="6AE031AB" w14:textId="77777777" w:rsidR="00CD5946" w:rsidRDefault="00000000">
      <w:pPr>
        <w:pStyle w:val="Heading2"/>
        <w:spacing w:before="220"/>
      </w:pPr>
      <w:bookmarkStart w:id="130" w:name="__RefHeading___Toc9417_1729075678"/>
      <w:bookmarkEnd w:id="130"/>
      <w:r>
        <w:t>8.  Personnel</w:t>
      </w:r>
      <w:r>
        <w:rPr>
          <w:b w:val="0"/>
          <w:bCs w:val="0"/>
          <w:color w:val="1A1A1A"/>
          <w:sz w:val="21"/>
          <w:szCs w:val="21"/>
        </w:rPr>
        <w:t xml:space="preserve">   </w:t>
      </w:r>
      <w:r>
        <w:rPr>
          <w:color w:val="C8A24B"/>
          <w:sz w:val="20"/>
          <w:szCs w:val="20"/>
          <w:rtl/>
        </w:rPr>
        <w:t>الأفراد</w:t>
      </w:r>
    </w:p>
    <w:p w14:paraId="35DE54E6" w14:textId="77777777" w:rsidR="00CD5946" w:rsidRDefault="00000000">
      <w:pPr>
        <w:spacing w:after="40" w:line="266" w:lineRule="auto"/>
        <w:ind w:left="300" w:hanging="300"/>
      </w:pPr>
      <w:r>
        <w:rPr>
          <w:rFonts w:ascii="Arial" w:eastAsia="Arial" w:hAnsi="Arial"/>
          <w:b/>
          <w:bCs/>
          <w:color w:val="15512F"/>
        </w:rPr>
        <w:lastRenderedPageBreak/>
        <w:t xml:space="preserve">8.1  </w:t>
      </w:r>
      <w:r>
        <w:rPr>
          <w:rFonts w:ascii="Arial" w:eastAsia="Arial" w:hAnsi="Arial"/>
          <w:color w:val="1A1A1A"/>
        </w:rPr>
        <w:t>The number of personnel in clean areas shall be minimised, especially during aseptic processing. All personnel involved shall receive initial and periodic training in sterile manufacture, hygiene, microbiology, gowning and aseptic behaviour, and the training shall be documented. Only the minimum number of qualified personnel shall be present in the Grade A/B area, and their qualification (including gowning qualification and, where appropriate, aseptic-technique assessment) shall be maintained.</w:t>
      </w:r>
    </w:p>
    <w:p w14:paraId="2D6BC510"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يُقلّل عدد الأفراد في المناطق النظيفة، وخاصةً أثناء المعالجة العقيمة. ويتلقّى جميع العاملين تدريباً أوليّاً ودوريّاً في التصنيع المعقّم والنظافة والأحياء الدقيقة والتلبّس والسلوك العقيم، ويُوثّق التدريب. ولا يُسمح إلّا بالحدّ الأدنى من المؤهّلين في الدرجة </w:t>
      </w:r>
      <w:r>
        <w:rPr>
          <w:rFonts w:ascii="Arial" w:eastAsia="Arial" w:hAnsi="Arial"/>
          <w:color w:val="333333"/>
          <w:sz w:val="20"/>
          <w:szCs w:val="20"/>
        </w:rPr>
        <w:t>A/B</w:t>
      </w:r>
      <w:r>
        <w:rPr>
          <w:rFonts w:ascii="Arial" w:eastAsia="Arial" w:hAnsi="Arial"/>
          <w:color w:val="333333"/>
          <w:sz w:val="20"/>
          <w:szCs w:val="20"/>
          <w:rtl/>
        </w:rPr>
        <w:t>، ويُحافَظ على تأهيلهم.</w:t>
      </w:r>
      <w:r>
        <w:rPr>
          <w:rFonts w:ascii="Arial" w:eastAsia="Arial" w:hAnsi="Arial"/>
          <w:b/>
          <w:bCs/>
          <w:color w:val="15512F"/>
          <w:sz w:val="20"/>
          <w:szCs w:val="20"/>
          <w:rtl/>
        </w:rPr>
        <w:t xml:space="preserve">  ⁦</w:t>
      </w:r>
      <w:r>
        <w:rPr>
          <w:rFonts w:ascii="Arial" w:eastAsia="Arial" w:hAnsi="Arial"/>
          <w:b/>
          <w:bCs/>
          <w:color w:val="15512F"/>
          <w:sz w:val="20"/>
          <w:szCs w:val="20"/>
        </w:rPr>
        <w:t>8.1</w:t>
      </w:r>
      <w:r>
        <w:rPr>
          <w:rFonts w:ascii="Arial" w:eastAsia="Arial" w:hAnsi="Arial"/>
          <w:b/>
          <w:bCs/>
          <w:color w:val="15512F"/>
          <w:sz w:val="20"/>
          <w:szCs w:val="20"/>
          <w:rtl/>
        </w:rPr>
        <w:t>⁩</w:t>
      </w:r>
    </w:p>
    <w:p w14:paraId="1A73B18F" w14:textId="77777777" w:rsidR="00CD5946" w:rsidRDefault="00000000">
      <w:pPr>
        <w:spacing w:after="40" w:line="266" w:lineRule="auto"/>
        <w:ind w:left="300" w:hanging="300"/>
      </w:pPr>
      <w:r>
        <w:rPr>
          <w:rFonts w:ascii="Arial" w:eastAsia="Arial" w:hAnsi="Arial"/>
          <w:b/>
          <w:bCs/>
          <w:color w:val="15512F"/>
        </w:rPr>
        <w:t xml:space="preserve">8.2  </w:t>
      </w:r>
      <w:r>
        <w:rPr>
          <w:rFonts w:ascii="Arial" w:eastAsia="Arial" w:hAnsi="Arial"/>
          <w:color w:val="1A1A1A"/>
        </w:rPr>
        <w:t>Gowning for Grade A/B shall be sterile, shall cover the body, hair, beard and footwear, and shall not shed fibres or particles or retain product. Gowning qualification shall be performed initially and periodically (normally at least annually), with microbial monitoring of the gown; personnel failing to maintain qualification shall not enter the aseptic area until re-qualified. Outdoor clothing shall not be brought into changing rooms leading to Grade B and C areas, and wristwatches, cosmetics and jewellery shall be prohibited.</w:t>
      </w:r>
    </w:p>
    <w:p w14:paraId="636F7E02"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يكون التلبّس للدرجة </w:t>
      </w:r>
      <w:r>
        <w:rPr>
          <w:rFonts w:ascii="Arial" w:eastAsia="Arial" w:hAnsi="Arial"/>
          <w:color w:val="333333"/>
          <w:sz w:val="20"/>
          <w:szCs w:val="20"/>
        </w:rPr>
        <w:t>A/B</w:t>
      </w:r>
      <w:r>
        <w:rPr>
          <w:rFonts w:ascii="Arial" w:eastAsia="Arial" w:hAnsi="Arial"/>
          <w:color w:val="333333"/>
          <w:sz w:val="20"/>
          <w:szCs w:val="20"/>
          <w:rtl/>
        </w:rPr>
        <w:t xml:space="preserve"> معقّماً يغطّي الجسم والشعر واللحية والأحذية، ولا ينسل أليافاً أو جسيمات. ويُؤهّل التلبّس ابتداءً ودوريّاً (سنويّاً على الأقل) مع مراقبة ميكروبية للزيّ؛ ولا يدخل من فقد تأهيله إلى المنطقة العقيمة حتّى يُعاد تأهيله. وتُمنع الملابس الخارجية والساعات ومستحضرات التجميل والحليّ.</w:t>
      </w:r>
      <w:r>
        <w:rPr>
          <w:rFonts w:ascii="Arial" w:eastAsia="Arial" w:hAnsi="Arial"/>
          <w:b/>
          <w:bCs/>
          <w:color w:val="15512F"/>
          <w:sz w:val="20"/>
          <w:szCs w:val="20"/>
          <w:rtl/>
        </w:rPr>
        <w:t xml:space="preserve">  ⁦</w:t>
      </w:r>
      <w:r>
        <w:rPr>
          <w:rFonts w:ascii="Arial" w:eastAsia="Arial" w:hAnsi="Arial"/>
          <w:b/>
          <w:bCs/>
          <w:color w:val="15512F"/>
          <w:sz w:val="20"/>
          <w:szCs w:val="20"/>
        </w:rPr>
        <w:t>8.2</w:t>
      </w:r>
      <w:r>
        <w:rPr>
          <w:rFonts w:ascii="Arial" w:eastAsia="Arial" w:hAnsi="Arial"/>
          <w:b/>
          <w:bCs/>
          <w:color w:val="15512F"/>
          <w:sz w:val="20"/>
          <w:szCs w:val="20"/>
          <w:rtl/>
        </w:rPr>
        <w:t>⁩</w:t>
      </w:r>
    </w:p>
    <w:p w14:paraId="4742025F" w14:textId="77777777" w:rsidR="00CD5946" w:rsidRDefault="00000000">
      <w:pPr>
        <w:spacing w:after="40" w:line="266" w:lineRule="auto"/>
        <w:ind w:left="300" w:hanging="300"/>
      </w:pPr>
      <w:r>
        <w:rPr>
          <w:rFonts w:ascii="Arial" w:eastAsia="Arial" w:hAnsi="Arial"/>
          <w:b/>
          <w:bCs/>
          <w:color w:val="15512F"/>
        </w:rPr>
        <w:t xml:space="preserve">8.3  </w:t>
      </w:r>
      <w:r>
        <w:rPr>
          <w:rFonts w:ascii="Arial" w:eastAsia="Arial" w:hAnsi="Arial"/>
          <w:color w:val="1A1A1A"/>
        </w:rPr>
        <w:t>Personnel conducting or supervising aseptic processing shall successfully complete an aseptic process simulation (media-fill) participation programme, and shall be subject to ongoing monitoring of their gloved fingers and gown after critical interventions and on each exit from the Grade B cleanroom; outer gloves shall be changed after a monitored critical intervention before work continues. Each operator shall participate in at least one successful APS per year, and operators performing manual aseptic operations shall complete three initial consecutive APS and re-qualify approximately every six months. Direct intervention by personnel in the Grade A zone shall be minimised by design (barrier technology, automation) and, where it occurs, shall be defined, justified, recorded and reflected in the media-fill design.</w:t>
      </w:r>
    </w:p>
    <w:p w14:paraId="4A61C2B7"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يجتاز العاملون في المعالجة العقيمة برنامج المشاركة في محاكاة العملية (التعبئة بالوسط)، ويخضعون لمراقبة مستمرة للقفّازات والزيّ بعد التدخّلات الحرجة وعند كل خروج من غرفة الدرجة B، مع تغيير القفّازات الخارجية بعد التدخّل الحرج المُراقَب. ويشارك كل مشغّل في محاكاة ناجحة واحدة سنوياً على الأقل، ويُعاد تأهيل مشغّلي العمليات اليدوية كل ستة أشهر تقريباً. ويُقلّل التدخّل المباشر في الدرجة </w:t>
      </w:r>
      <w:r>
        <w:rPr>
          <w:rFonts w:ascii="Arial" w:eastAsia="Arial" w:hAnsi="Arial"/>
          <w:color w:val="333333"/>
          <w:sz w:val="20"/>
          <w:szCs w:val="20"/>
        </w:rPr>
        <w:t>A</w:t>
      </w:r>
      <w:r>
        <w:rPr>
          <w:rFonts w:ascii="Arial" w:eastAsia="Arial" w:hAnsi="Arial"/>
          <w:color w:val="333333"/>
          <w:sz w:val="20"/>
          <w:szCs w:val="20"/>
          <w:rtl/>
        </w:rPr>
        <w:t xml:space="preserve"> بالتصميم، وعند حدوثه يُحدّد ويُبرّر ويُسجّل ويُدرَج في تصميم التعبئة بالوسط.</w:t>
      </w:r>
      <w:r>
        <w:rPr>
          <w:rFonts w:ascii="Arial" w:eastAsia="Arial" w:hAnsi="Arial"/>
          <w:b/>
          <w:bCs/>
          <w:color w:val="15512F"/>
          <w:sz w:val="20"/>
          <w:szCs w:val="20"/>
          <w:rtl/>
        </w:rPr>
        <w:t xml:space="preserve">  ⁦</w:t>
      </w:r>
      <w:r>
        <w:rPr>
          <w:rFonts w:ascii="Arial" w:eastAsia="Arial" w:hAnsi="Arial"/>
          <w:b/>
          <w:bCs/>
          <w:color w:val="15512F"/>
          <w:sz w:val="20"/>
          <w:szCs w:val="20"/>
        </w:rPr>
        <w:t>8.3</w:t>
      </w:r>
      <w:r>
        <w:rPr>
          <w:rFonts w:ascii="Arial" w:eastAsia="Arial" w:hAnsi="Arial"/>
          <w:b/>
          <w:bCs/>
          <w:color w:val="15512F"/>
          <w:sz w:val="20"/>
          <w:szCs w:val="20"/>
          <w:rtl/>
        </w:rPr>
        <w:t>⁩</w:t>
      </w:r>
    </w:p>
    <w:p w14:paraId="2377B5E8" w14:textId="77777777" w:rsidR="00CD5946" w:rsidRDefault="00000000">
      <w:pPr>
        <w:spacing w:after="40" w:line="266" w:lineRule="auto"/>
        <w:ind w:left="300" w:hanging="300"/>
      </w:pPr>
      <w:r>
        <w:rPr>
          <w:rFonts w:ascii="Arial" w:eastAsia="Arial" w:hAnsi="Arial"/>
          <w:b/>
          <w:bCs/>
          <w:color w:val="15512F"/>
        </w:rPr>
        <w:t xml:space="preserve">8.4  </w:t>
      </w:r>
      <w:r>
        <w:rPr>
          <w:rFonts w:ascii="Arial" w:eastAsia="Arial" w:hAnsi="Arial"/>
          <w:color w:val="1A1A1A"/>
        </w:rPr>
        <w:t>Personnel health and conduct shall be controlled to protect the product: personnel with conditions that may increase contamination risk shall be excluded from aseptic areas; reporting procedures shall be in place; and behaviour in clean areas shall follow defined rules (slow, controlled movements, no leaning over exposed product, minimal talking). Entry and exit shall follow a defined, qualified gowning/de-gowning sequence with hand and surface disinfection at the appropriate steps.</w:t>
      </w:r>
    </w:p>
    <w:p w14:paraId="428A4D70" w14:textId="77777777" w:rsidR="00CD5946" w:rsidRDefault="00000000">
      <w:pPr>
        <w:bidi/>
        <w:spacing w:after="150" w:line="300" w:lineRule="auto"/>
        <w:ind w:right="300" w:hanging="300"/>
        <w:jc w:val="right"/>
      </w:pPr>
      <w:r>
        <w:rPr>
          <w:rFonts w:ascii="Arial" w:eastAsia="Arial" w:hAnsi="Arial"/>
          <w:color w:val="333333"/>
          <w:sz w:val="20"/>
          <w:szCs w:val="20"/>
          <w:rtl/>
        </w:rPr>
        <w:t>تُضبط صحّة الأفراد وسلوكهم لحماية المنتج: فيُستبعد من المناطق العقيمة من لديه حالات تزيد خطر التلوث؛ وتُوضع إجراءات للإبلاغ؛ ويتبع السلوك في المناطق النظيفة قواعد محدّدة (حركات بطيئة مضبوطة، وعدم الانحناء فوق المنتج المكشوف، وتقليل الكلام). ويتبع الدخول والخروج تسلسلاً مؤهّلاً للتلبّس وخلعه مع تطهير اليدين والأسطح عند الخطوات المناسبة.</w:t>
      </w:r>
      <w:r>
        <w:rPr>
          <w:rFonts w:ascii="Arial" w:eastAsia="Arial" w:hAnsi="Arial"/>
          <w:b/>
          <w:bCs/>
          <w:color w:val="15512F"/>
          <w:sz w:val="20"/>
          <w:szCs w:val="20"/>
          <w:rtl/>
        </w:rPr>
        <w:t xml:space="preserve">  ⁦</w:t>
      </w:r>
      <w:r>
        <w:rPr>
          <w:rFonts w:ascii="Arial" w:eastAsia="Arial" w:hAnsi="Arial"/>
          <w:b/>
          <w:bCs/>
          <w:color w:val="15512F"/>
          <w:sz w:val="20"/>
          <w:szCs w:val="20"/>
        </w:rPr>
        <w:t>8.4</w:t>
      </w:r>
      <w:r>
        <w:rPr>
          <w:rFonts w:ascii="Arial" w:eastAsia="Arial" w:hAnsi="Arial"/>
          <w:b/>
          <w:bCs/>
          <w:color w:val="15512F"/>
          <w:sz w:val="20"/>
          <w:szCs w:val="20"/>
          <w:rtl/>
        </w:rPr>
        <w:t>⁩</w:t>
      </w:r>
    </w:p>
    <w:p w14:paraId="4EC99874" w14:textId="77777777" w:rsidR="00CD5946" w:rsidRDefault="00000000">
      <w:pPr>
        <w:pStyle w:val="Heading2"/>
        <w:spacing w:before="220"/>
      </w:pPr>
      <w:bookmarkStart w:id="131" w:name="__RefHeading___Toc9419_1729075678"/>
      <w:bookmarkEnd w:id="131"/>
      <w:r>
        <w:t>9.  Production and specific technologies</w:t>
      </w:r>
      <w:r>
        <w:rPr>
          <w:b w:val="0"/>
          <w:bCs w:val="0"/>
          <w:color w:val="1A1A1A"/>
          <w:sz w:val="21"/>
          <w:szCs w:val="21"/>
        </w:rPr>
        <w:t xml:space="preserve">   </w:t>
      </w:r>
      <w:r>
        <w:rPr>
          <w:color w:val="C8A24B"/>
          <w:sz w:val="20"/>
          <w:szCs w:val="20"/>
          <w:rtl/>
        </w:rPr>
        <w:t>الإنتاج والتقنيات المحدّدة</w:t>
      </w:r>
    </w:p>
    <w:p w14:paraId="26EA8105" w14:textId="77777777" w:rsidR="00CD5946" w:rsidRDefault="00000000">
      <w:pPr>
        <w:spacing w:after="40" w:line="266" w:lineRule="auto"/>
        <w:ind w:left="300" w:hanging="300"/>
      </w:pPr>
      <w:r>
        <w:rPr>
          <w:rFonts w:ascii="Arial" w:eastAsia="Arial" w:hAnsi="Arial"/>
          <w:b/>
          <w:bCs/>
          <w:color w:val="15512F"/>
        </w:rPr>
        <w:t xml:space="preserve">9.1  </w:t>
      </w:r>
      <w:r>
        <w:rPr>
          <w:rFonts w:ascii="Arial" w:eastAsia="Arial" w:hAnsi="Arial"/>
          <w:color w:val="1A1A1A"/>
        </w:rPr>
        <w:t>Aseptic process simulation (media fill) shall validate the aseptic process, simulating as closely as possible the routine process including worst-case interventions, the maximum number of operators, container/closure sizes and line speeds, and the maximum permitted holding times. Media fills shall be performed at initial qualification (normally three consecutive satisfactory simulations per shift/line) and repeated periodically (normally every six months per shift and line), and after significant modification to the facility, equipment or process.</w:t>
      </w:r>
    </w:p>
    <w:p w14:paraId="0D645F5B" w14:textId="77777777" w:rsidR="00CD5946" w:rsidRDefault="00000000">
      <w:pPr>
        <w:bidi/>
        <w:spacing w:after="150" w:line="300" w:lineRule="auto"/>
        <w:ind w:right="300" w:hanging="300"/>
        <w:jc w:val="right"/>
      </w:pPr>
      <w:r>
        <w:rPr>
          <w:rFonts w:ascii="Arial" w:eastAsia="Arial" w:hAnsi="Arial"/>
          <w:color w:val="333333"/>
          <w:sz w:val="20"/>
          <w:szCs w:val="20"/>
          <w:rtl/>
        </w:rPr>
        <w:t>تُتحقّق محاكاة العملية (التعبئة بالوسط) من العملية العقيمة، محاكيةً قدر الإمكان العملية الروتينية بما فيها أسوأ التدخّلات وأقصى عدد مشغّلين وأحجام العبوات وسرعات الخطّ وأقصى أوقات الحفظ. وتُجرى عند التأهيل الأولي (ثلاث محاكاة متتالية مُرضية عادةً) وتُعاد دوريّاً (كل ستّة أشهر لكلّ وردية وخطّ) وبعد التعديلات الجوهرية.</w:t>
      </w:r>
      <w:r>
        <w:rPr>
          <w:rFonts w:ascii="Arial" w:eastAsia="Arial" w:hAnsi="Arial"/>
          <w:b/>
          <w:bCs/>
          <w:color w:val="15512F"/>
          <w:sz w:val="20"/>
          <w:szCs w:val="20"/>
          <w:rtl/>
        </w:rPr>
        <w:t xml:space="preserve">  ⁦</w:t>
      </w:r>
      <w:r>
        <w:rPr>
          <w:rFonts w:ascii="Arial" w:eastAsia="Arial" w:hAnsi="Arial"/>
          <w:b/>
          <w:bCs/>
          <w:color w:val="15512F"/>
          <w:sz w:val="20"/>
          <w:szCs w:val="20"/>
        </w:rPr>
        <w:t>9.1</w:t>
      </w:r>
      <w:r>
        <w:rPr>
          <w:rFonts w:ascii="Arial" w:eastAsia="Arial" w:hAnsi="Arial"/>
          <w:b/>
          <w:bCs/>
          <w:color w:val="15512F"/>
          <w:sz w:val="20"/>
          <w:szCs w:val="20"/>
          <w:rtl/>
        </w:rPr>
        <w:t>⁩</w:t>
      </w:r>
    </w:p>
    <w:p w14:paraId="5EAAE4EC" w14:textId="77777777" w:rsidR="00CD5946" w:rsidRDefault="00000000">
      <w:pPr>
        <w:spacing w:after="40" w:line="266" w:lineRule="auto"/>
        <w:ind w:left="300" w:hanging="300"/>
      </w:pPr>
      <w:r>
        <w:rPr>
          <w:rFonts w:ascii="Arial" w:eastAsia="Arial" w:hAnsi="Arial"/>
          <w:b/>
          <w:bCs/>
          <w:color w:val="15512F"/>
        </w:rPr>
        <w:lastRenderedPageBreak/>
        <w:t xml:space="preserve">9.2  </w:t>
      </w:r>
      <w:r>
        <w:rPr>
          <w:rFonts w:ascii="Arial" w:eastAsia="Arial" w:hAnsi="Arial"/>
          <w:color w:val="1A1A1A"/>
        </w:rPr>
        <w:t>The target of a media fill shall be zero contaminated units. Any contaminated unit, irrespective of run size, shall result in a failed APS and shall lead to: a documented investigation to determine the most probable root cause(s), including identification of the contaminant; determination and implementation of appropriate corrective measures; a sufficient number of successful, consecutive repeat simulations (normally a minimum of three) to demonstrate that the process has been returned to a state of control; and a prompt review — including a risk assessment of potential sterile breaches — of all batches manufactured on the line since the last successful simulation, with products manufactured after the failed simulation quarantined pending successful resolution.</w:t>
      </w:r>
    </w:p>
    <w:p w14:paraId="5D1D1AC8"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يكون هدف التعبئة بالوسط صفر وحدة ملوّثة. وأيّ وحدة ملوّثة، مهما كان حجم التعبئة، تعني إخفاق المحاكاة وتستوجب: تحقيقاً موثّقاً يحدّد السبب الجذري الأرجح ويُعرّف المُلوِّث؛ وتحديد الإجراءات التصحيحية وتنفيذها؛ وعدداً كافياً من المحاكيات المتتالية الناجحة (ثلاث على الأقل عادةً) لإثبات عودة العملية إلى حالة الضبط؛ ومراجعة عاجلة، تشمل تقييم مخاطر الاختراق، لجميع الدفعات المصنّعة على الخط منذ آخر محاكاة ناجحة، مع حجر المنتجات المصنّعة بعد المحاكاة المخفقة حتى الحسم.  ⁦9.2⁩</w:t>
      </w:r>
    </w:p>
    <w:p w14:paraId="40995DD2" w14:textId="77777777" w:rsidR="00CD5946" w:rsidRDefault="00000000">
      <w:pPr>
        <w:spacing w:after="40" w:line="266" w:lineRule="auto"/>
        <w:ind w:left="300" w:hanging="300"/>
      </w:pPr>
      <w:r>
        <w:rPr>
          <w:rFonts w:ascii="Arial" w:eastAsia="Arial" w:hAnsi="Arial"/>
          <w:b/>
          <w:bCs/>
          <w:color w:val="15512F"/>
        </w:rPr>
        <w:t xml:space="preserve">9.3  </w:t>
      </w:r>
      <w:r>
        <w:rPr>
          <w:rFonts w:ascii="Arial" w:eastAsia="Arial" w:hAnsi="Arial"/>
          <w:color w:val="1A1A1A"/>
        </w:rPr>
        <w:t>Terminal sterilisation shall be used wherever the product and container can withstand the process. The selection of the sterilisation method shall be supported by a documented decision tree based on the ability of the product and primary container to withstand the process; any decision to use aseptic processing in preference to terminal sterilisation shall be scientifically justified and recorded. The chosen method shall be reflected in the registered process and in the CCS.</w:t>
      </w:r>
    </w:p>
    <w:p w14:paraId="56B12218" w14:textId="77777777" w:rsidR="00CD5946" w:rsidRDefault="00000000">
      <w:pPr>
        <w:bidi/>
        <w:spacing w:after="150" w:line="300" w:lineRule="auto"/>
        <w:ind w:right="300" w:hanging="300"/>
        <w:jc w:val="right"/>
      </w:pPr>
      <w:r>
        <w:rPr>
          <w:rFonts w:ascii="Arial" w:eastAsia="Arial" w:hAnsi="Arial"/>
          <w:color w:val="333333"/>
          <w:sz w:val="20"/>
          <w:szCs w:val="20"/>
          <w:rtl/>
        </w:rPr>
        <w:t>يُستخدم التعقيم النهائي كلّما أمكن أن يتحمّله المنتج والعبوة. ويُسنَد اختيار طريقة التعقيم بشجرة قرار موثّقة تستند إلى قدرة المنتج والعبوة على تحمّل العملية؛ ويُبرّر علميّاً ويُسجّل أيّ قرار باستخدام المعالجة العقيمة بدلاً من التعقيم النهائي. وتُجسّد الطريقة المختارة في العملية المُسجّلة وفي استراتيجية ضبط التلوث.</w:t>
      </w:r>
      <w:r>
        <w:rPr>
          <w:rFonts w:ascii="Arial" w:eastAsia="Arial" w:hAnsi="Arial"/>
          <w:b/>
          <w:bCs/>
          <w:color w:val="15512F"/>
          <w:sz w:val="20"/>
          <w:szCs w:val="20"/>
          <w:rtl/>
        </w:rPr>
        <w:t xml:space="preserve">  ⁦</w:t>
      </w:r>
      <w:r>
        <w:rPr>
          <w:rFonts w:ascii="Arial" w:eastAsia="Arial" w:hAnsi="Arial"/>
          <w:b/>
          <w:bCs/>
          <w:color w:val="15512F"/>
          <w:sz w:val="20"/>
          <w:szCs w:val="20"/>
        </w:rPr>
        <w:t>9.3</w:t>
      </w:r>
      <w:r>
        <w:rPr>
          <w:rFonts w:ascii="Arial" w:eastAsia="Arial" w:hAnsi="Arial"/>
          <w:b/>
          <w:bCs/>
          <w:color w:val="15512F"/>
          <w:sz w:val="20"/>
          <w:szCs w:val="20"/>
          <w:rtl/>
        </w:rPr>
        <w:t>⁩</w:t>
      </w:r>
    </w:p>
    <w:p w14:paraId="6475E6A2" w14:textId="77777777" w:rsidR="00CD5946" w:rsidRDefault="00000000">
      <w:pPr>
        <w:spacing w:after="40" w:line="266" w:lineRule="auto"/>
        <w:ind w:left="300" w:hanging="300"/>
      </w:pPr>
      <w:r>
        <w:rPr>
          <w:rFonts w:ascii="Arial" w:eastAsia="Arial" w:hAnsi="Arial"/>
          <w:b/>
          <w:bCs/>
          <w:color w:val="15512F"/>
        </w:rPr>
        <w:t xml:space="preserve">9.4  </w:t>
      </w:r>
      <w:r>
        <w:rPr>
          <w:rFonts w:ascii="Arial" w:eastAsia="Arial" w:hAnsi="Arial"/>
          <w:color w:val="1A1A1A"/>
        </w:rPr>
        <w:t>Moist-heat (steam) sterilisation cycles shall be developed and validated to deliver the required lethality, commonly expressed as F0, and to achieve a Sterility Assurance Level (SAL) of ≤ 10⁻⁶. Reference conditions (for example 121°C for 15 minutes) are indicative only; each cycle shall be validated against the specific load configuration and the pre-sterilisation bioburden, with temperature distribution, heat-penetration and, where appropriate, biological-indicator studies. Routine release shall be by validated parametric criteria or by biological indicators as justified.</w:t>
      </w:r>
    </w:p>
    <w:p w14:paraId="1A1DAE9E" w14:textId="77777777" w:rsidR="00CD5946" w:rsidRDefault="00000000">
      <w:pPr>
        <w:bidi/>
        <w:spacing w:after="150" w:line="300" w:lineRule="auto"/>
        <w:ind w:right="300" w:hanging="300"/>
        <w:jc w:val="right"/>
      </w:pPr>
      <w:r>
        <w:rPr>
          <w:rFonts w:ascii="Arial" w:eastAsia="Arial" w:hAnsi="Arial"/>
          <w:color w:val="333333"/>
          <w:sz w:val="20"/>
          <w:szCs w:val="20"/>
          <w:rtl/>
        </w:rPr>
        <w:t>تُطوّر دورات التعقيم بالحرارة الرطبة (البخار) وتُتحقّق لتحقيق الإبادة المطلوبة (</w:t>
      </w:r>
      <w:r>
        <w:rPr>
          <w:rFonts w:ascii="Arial" w:eastAsia="Arial" w:hAnsi="Arial"/>
          <w:color w:val="333333"/>
          <w:sz w:val="20"/>
          <w:szCs w:val="20"/>
        </w:rPr>
        <w:t>F</w:t>
      </w:r>
      <w:r>
        <w:rPr>
          <w:rFonts w:ascii="Arial" w:eastAsia="Arial" w:hAnsi="Arial"/>
          <w:color w:val="333333"/>
          <w:sz w:val="20"/>
          <w:szCs w:val="20"/>
          <w:rtl/>
        </w:rPr>
        <w:t>⁦</w:t>
      </w:r>
      <w:r>
        <w:rPr>
          <w:rFonts w:ascii="Arial" w:eastAsia="Arial" w:hAnsi="Arial"/>
          <w:color w:val="333333"/>
          <w:sz w:val="20"/>
          <w:szCs w:val="20"/>
        </w:rPr>
        <w:t>0</w:t>
      </w:r>
      <w:r>
        <w:rPr>
          <w:rFonts w:ascii="Arial" w:eastAsia="Arial" w:hAnsi="Arial"/>
          <w:color w:val="333333"/>
          <w:sz w:val="20"/>
          <w:szCs w:val="20"/>
          <w:rtl/>
        </w:rPr>
        <w:t>⁩) وبلوغ مستوى ضمان التعقيم (</w:t>
      </w:r>
      <w:r>
        <w:rPr>
          <w:rFonts w:ascii="Arial" w:eastAsia="Arial" w:hAnsi="Arial"/>
          <w:color w:val="333333"/>
          <w:sz w:val="20"/>
          <w:szCs w:val="20"/>
        </w:rPr>
        <w:t>SAL</w:t>
      </w:r>
      <w:r>
        <w:rPr>
          <w:rFonts w:ascii="Arial" w:eastAsia="Arial" w:hAnsi="Arial"/>
          <w:color w:val="333333"/>
          <w:sz w:val="20"/>
          <w:szCs w:val="20"/>
          <w:rtl/>
        </w:rPr>
        <w:t>) ⁦</w:t>
      </w:r>
      <w:r>
        <w:rPr>
          <w:rFonts w:ascii="Arial" w:eastAsia="Arial" w:hAnsi="Arial"/>
          <w:color w:val="333333"/>
          <w:sz w:val="20"/>
          <w:szCs w:val="20"/>
        </w:rPr>
        <w:t>≤ 10</w:t>
      </w:r>
      <w:r>
        <w:rPr>
          <w:rFonts w:ascii="Arial" w:eastAsia="Arial" w:hAnsi="Arial"/>
          <w:color w:val="333333"/>
          <w:sz w:val="20"/>
          <w:szCs w:val="20"/>
          <w:rtl/>
        </w:rPr>
        <w:t>⁩⁻</w:t>
      </w:r>
      <w:r>
        <w:rPr>
          <w:rFonts w:ascii="Arial" w:eastAsia="Arial" w:hAnsi="Arial"/>
          <w:color w:val="333333"/>
          <w:sz w:val="20"/>
          <w:szCs w:val="20"/>
        </w:rPr>
        <w:t>⁶</w:t>
      </w:r>
      <w:r>
        <w:rPr>
          <w:rFonts w:ascii="Arial" w:eastAsia="Arial" w:hAnsi="Arial"/>
          <w:color w:val="333333"/>
          <w:sz w:val="20"/>
          <w:szCs w:val="20"/>
          <w:rtl/>
        </w:rPr>
        <w:t>. والظروف المرجعية (⁦</w:t>
      </w:r>
      <w:r>
        <w:rPr>
          <w:rFonts w:ascii="Arial" w:eastAsia="Arial" w:hAnsi="Arial"/>
          <w:color w:val="333333"/>
          <w:sz w:val="20"/>
          <w:szCs w:val="20"/>
        </w:rPr>
        <w:t>121°</w:t>
      </w:r>
      <w:r>
        <w:rPr>
          <w:rFonts w:ascii="Arial" w:eastAsia="Arial" w:hAnsi="Arial"/>
          <w:color w:val="333333"/>
          <w:sz w:val="20"/>
          <w:szCs w:val="20"/>
          <w:rtl/>
        </w:rPr>
        <w:t>⁩م لمدة ⁦</w:t>
      </w:r>
      <w:r>
        <w:rPr>
          <w:rFonts w:ascii="Arial" w:eastAsia="Arial" w:hAnsi="Arial"/>
          <w:color w:val="333333"/>
          <w:sz w:val="20"/>
          <w:szCs w:val="20"/>
        </w:rPr>
        <w:t>15</w:t>
      </w:r>
      <w:r>
        <w:rPr>
          <w:rFonts w:ascii="Arial" w:eastAsia="Arial" w:hAnsi="Arial"/>
          <w:color w:val="333333"/>
          <w:sz w:val="20"/>
          <w:szCs w:val="20"/>
          <w:rtl/>
        </w:rPr>
        <w:t>⁩ دقيقة) إرشادية فحسب؛ وتُتحقّق كل دورة لترتيب الحمولة والحمل الميكروبي قبل التعقيم، مع دراسات توزيع الحرارة واختراقها والمؤشّرات البيولوجية عند الاقتضاء. ويكون الإفراج الروتيني بمعايير بارامترية مُتحقّقة أو بالمؤشّرات البيولوجية حسب التبرير.</w:t>
      </w:r>
      <w:r>
        <w:rPr>
          <w:rFonts w:ascii="Arial" w:eastAsia="Arial" w:hAnsi="Arial"/>
          <w:b/>
          <w:bCs/>
          <w:color w:val="15512F"/>
          <w:sz w:val="20"/>
          <w:szCs w:val="20"/>
          <w:rtl/>
        </w:rPr>
        <w:t xml:space="preserve">  ⁦</w:t>
      </w:r>
      <w:r>
        <w:rPr>
          <w:rFonts w:ascii="Arial" w:eastAsia="Arial" w:hAnsi="Arial"/>
          <w:b/>
          <w:bCs/>
          <w:color w:val="15512F"/>
          <w:sz w:val="20"/>
          <w:szCs w:val="20"/>
        </w:rPr>
        <w:t>9.4</w:t>
      </w:r>
      <w:r>
        <w:rPr>
          <w:rFonts w:ascii="Arial" w:eastAsia="Arial" w:hAnsi="Arial"/>
          <w:b/>
          <w:bCs/>
          <w:color w:val="15512F"/>
          <w:sz w:val="20"/>
          <w:szCs w:val="20"/>
          <w:rtl/>
        </w:rPr>
        <w:t>⁩</w:t>
      </w:r>
    </w:p>
    <w:p w14:paraId="7FC0AE19" w14:textId="77777777" w:rsidR="00CD5946" w:rsidRDefault="00000000">
      <w:pPr>
        <w:spacing w:after="40" w:line="266" w:lineRule="auto"/>
        <w:ind w:left="300" w:hanging="300"/>
      </w:pPr>
      <w:r>
        <w:rPr>
          <w:rFonts w:ascii="Arial" w:eastAsia="Arial" w:hAnsi="Arial"/>
          <w:b/>
          <w:bCs/>
          <w:color w:val="15512F"/>
        </w:rPr>
        <w:t xml:space="preserve">9.5  </w:t>
      </w:r>
      <w:r>
        <w:rPr>
          <w:rFonts w:ascii="Arial" w:eastAsia="Arial" w:hAnsi="Arial"/>
          <w:color w:val="1A1A1A"/>
        </w:rPr>
        <w:t>Dry-heat sterilisation, where used, shall be validated for both sterilisation and, where applicable, depyrogenation; depyrogenation cycles shall demonstrate at least a 3-log reduction of endotoxin on the relevant surfaces. Heat distribution and penetration shall be established for each load, air circulation and filtration shall be controlled, and the cycle shall maintain the qualified conditions throughout.</w:t>
      </w:r>
    </w:p>
    <w:p w14:paraId="1DE3F8F5" w14:textId="77777777" w:rsidR="00CD5946" w:rsidRDefault="00000000">
      <w:pPr>
        <w:bidi/>
        <w:spacing w:after="150" w:line="300" w:lineRule="auto"/>
        <w:ind w:right="300" w:hanging="300"/>
        <w:jc w:val="right"/>
      </w:pPr>
      <w:r>
        <w:rPr>
          <w:rFonts w:ascii="Arial" w:eastAsia="Arial" w:hAnsi="Arial"/>
          <w:color w:val="333333"/>
          <w:sz w:val="20"/>
          <w:szCs w:val="20"/>
          <w:rtl/>
        </w:rPr>
        <w:t>يُتحقّق التعقيم بالحرارة الجافّة عند استخدامه للتعقيم ولإزالة المولّدات للحمّى عند الاقتضاء؛ وتُثبت دورات إزالة المولّدات خفضاً لا يقلّ عن ⁦</w:t>
      </w:r>
      <w:r>
        <w:rPr>
          <w:rFonts w:ascii="Arial" w:eastAsia="Arial" w:hAnsi="Arial"/>
          <w:color w:val="333333"/>
          <w:sz w:val="20"/>
          <w:szCs w:val="20"/>
        </w:rPr>
        <w:t>3</w:t>
      </w:r>
      <w:r>
        <w:rPr>
          <w:rFonts w:ascii="Arial" w:eastAsia="Arial" w:hAnsi="Arial"/>
          <w:color w:val="333333"/>
          <w:sz w:val="20"/>
          <w:szCs w:val="20"/>
          <w:rtl/>
        </w:rPr>
        <w:t>⁩ لوغ للذيفان على الأسطح المعنيّة. وتُحدّد وزع الحرارة واختراقها لكل حمولة، ويُضبط دوران الهواء وترشيحه، وتُحافَظ الدورة على الظروف المؤهّلة.</w:t>
      </w:r>
      <w:r>
        <w:rPr>
          <w:rFonts w:ascii="Arial" w:eastAsia="Arial" w:hAnsi="Arial"/>
          <w:b/>
          <w:bCs/>
          <w:color w:val="15512F"/>
          <w:sz w:val="20"/>
          <w:szCs w:val="20"/>
          <w:rtl/>
        </w:rPr>
        <w:t xml:space="preserve">  ⁦</w:t>
      </w:r>
      <w:r>
        <w:rPr>
          <w:rFonts w:ascii="Arial" w:eastAsia="Arial" w:hAnsi="Arial"/>
          <w:b/>
          <w:bCs/>
          <w:color w:val="15512F"/>
          <w:sz w:val="20"/>
          <w:szCs w:val="20"/>
        </w:rPr>
        <w:t>9.5</w:t>
      </w:r>
      <w:r>
        <w:rPr>
          <w:rFonts w:ascii="Arial" w:eastAsia="Arial" w:hAnsi="Arial"/>
          <w:b/>
          <w:bCs/>
          <w:color w:val="15512F"/>
          <w:sz w:val="20"/>
          <w:szCs w:val="20"/>
          <w:rtl/>
        </w:rPr>
        <w:t>⁩</w:t>
      </w:r>
    </w:p>
    <w:p w14:paraId="4DD29CDB" w14:textId="77777777" w:rsidR="00CD5946" w:rsidRDefault="00000000">
      <w:pPr>
        <w:spacing w:after="40" w:line="266" w:lineRule="auto"/>
        <w:ind w:left="300" w:hanging="300"/>
      </w:pPr>
      <w:r>
        <w:rPr>
          <w:rFonts w:ascii="Arial" w:eastAsia="Arial" w:hAnsi="Arial"/>
          <w:b/>
          <w:bCs/>
          <w:color w:val="15512F"/>
        </w:rPr>
        <w:t xml:space="preserve">9.6  </w:t>
      </w:r>
      <w:r>
        <w:rPr>
          <w:rFonts w:ascii="Arial" w:eastAsia="Arial" w:hAnsi="Arial"/>
          <w:color w:val="1A1A1A"/>
        </w:rPr>
        <w:t>Sterilisation by ionising radiation, by ethylene oxide or by other gas/vapour methods shall be validated against the recognised standards (for example ISO 11137 for radiation and ISO 11135 for ethylene oxide). For radiation, the sterilising dose shall be established and routinely verified by dosimetry. For ethylene oxide, the cycle shall control gas concentration, humidity, temperature and time, and residual ethylene oxide and reaction products shall be shown to be within safe limits. Biological indicators shall be used as appropriate.</w:t>
      </w:r>
    </w:p>
    <w:p w14:paraId="23D84CD6" w14:textId="77777777" w:rsidR="00CD5946" w:rsidRDefault="00000000">
      <w:pPr>
        <w:bidi/>
        <w:spacing w:after="150" w:line="300" w:lineRule="auto"/>
        <w:ind w:right="300" w:hanging="300"/>
        <w:jc w:val="right"/>
      </w:pPr>
      <w:r>
        <w:rPr>
          <w:rFonts w:ascii="Arial" w:eastAsia="Arial" w:hAnsi="Arial"/>
          <w:color w:val="333333"/>
          <w:sz w:val="20"/>
          <w:szCs w:val="20"/>
          <w:rtl/>
        </w:rPr>
        <w:t>يُتحقّق التعقيم بالإشعاع المؤيّن أو بأكسيد الإثيلين أو بطرائق الغاز/البخار الأخرى وفق المعايير المعترف بها (</w:t>
      </w:r>
      <w:r>
        <w:rPr>
          <w:rFonts w:ascii="Arial" w:eastAsia="Arial" w:hAnsi="Arial"/>
          <w:color w:val="333333"/>
          <w:sz w:val="20"/>
          <w:szCs w:val="20"/>
        </w:rPr>
        <w:t>ISO</w:t>
      </w:r>
      <w:r>
        <w:rPr>
          <w:rFonts w:ascii="Arial" w:eastAsia="Arial" w:hAnsi="Arial"/>
          <w:color w:val="333333"/>
          <w:sz w:val="20"/>
          <w:szCs w:val="20"/>
          <w:rtl/>
        </w:rPr>
        <w:t xml:space="preserve"> ⁦</w:t>
      </w:r>
      <w:r>
        <w:rPr>
          <w:rFonts w:ascii="Arial" w:eastAsia="Arial" w:hAnsi="Arial"/>
          <w:color w:val="333333"/>
          <w:sz w:val="20"/>
          <w:szCs w:val="20"/>
        </w:rPr>
        <w:t>11137</w:t>
      </w:r>
      <w:r>
        <w:rPr>
          <w:rFonts w:ascii="Arial" w:eastAsia="Arial" w:hAnsi="Arial"/>
          <w:color w:val="333333"/>
          <w:sz w:val="20"/>
          <w:szCs w:val="20"/>
          <w:rtl/>
        </w:rPr>
        <w:t>⁩ للإشعاع و</w:t>
      </w:r>
      <w:r>
        <w:rPr>
          <w:rFonts w:ascii="Arial" w:eastAsia="Arial" w:hAnsi="Arial"/>
          <w:color w:val="333333"/>
          <w:sz w:val="20"/>
          <w:szCs w:val="20"/>
        </w:rPr>
        <w:t>ISO</w:t>
      </w:r>
      <w:r>
        <w:rPr>
          <w:rFonts w:ascii="Arial" w:eastAsia="Arial" w:hAnsi="Arial"/>
          <w:color w:val="333333"/>
          <w:sz w:val="20"/>
          <w:szCs w:val="20"/>
          <w:rtl/>
        </w:rPr>
        <w:t xml:space="preserve"> ⁦</w:t>
      </w:r>
      <w:r>
        <w:rPr>
          <w:rFonts w:ascii="Arial" w:eastAsia="Arial" w:hAnsi="Arial"/>
          <w:color w:val="333333"/>
          <w:sz w:val="20"/>
          <w:szCs w:val="20"/>
        </w:rPr>
        <w:t>11135</w:t>
      </w:r>
      <w:r>
        <w:rPr>
          <w:rFonts w:ascii="Arial" w:eastAsia="Arial" w:hAnsi="Arial"/>
          <w:color w:val="333333"/>
          <w:sz w:val="20"/>
          <w:szCs w:val="20"/>
          <w:rtl/>
        </w:rPr>
        <w:t>⁩ لأكسيد الإثيلين). وللإشعاع تُحدّد جرعة التعقيم وتُتحقّق روتينيّاً بقياس الجرعة. ولأكسيد الإثيلين تُضبط التركيز والرطوبة والحرارة والزمن، ويُثبت أنّ البقايا ونواتج التفاعل ضمن الحدود الآمنة. وتُستخدم المؤشّرات البيولوجية عند الاقتضاء.</w:t>
      </w:r>
      <w:r>
        <w:rPr>
          <w:rFonts w:ascii="Arial" w:eastAsia="Arial" w:hAnsi="Arial"/>
          <w:b/>
          <w:bCs/>
          <w:color w:val="15512F"/>
          <w:sz w:val="20"/>
          <w:szCs w:val="20"/>
          <w:rtl/>
        </w:rPr>
        <w:t xml:space="preserve">  ⁦</w:t>
      </w:r>
      <w:r>
        <w:rPr>
          <w:rFonts w:ascii="Arial" w:eastAsia="Arial" w:hAnsi="Arial"/>
          <w:b/>
          <w:bCs/>
          <w:color w:val="15512F"/>
          <w:sz w:val="20"/>
          <w:szCs w:val="20"/>
        </w:rPr>
        <w:t>9.6</w:t>
      </w:r>
      <w:r>
        <w:rPr>
          <w:rFonts w:ascii="Arial" w:eastAsia="Arial" w:hAnsi="Arial"/>
          <w:b/>
          <w:bCs/>
          <w:color w:val="15512F"/>
          <w:sz w:val="20"/>
          <w:szCs w:val="20"/>
          <w:rtl/>
        </w:rPr>
        <w:t>⁩</w:t>
      </w:r>
    </w:p>
    <w:p w14:paraId="3C0867F6" w14:textId="77777777" w:rsidR="00CD5946" w:rsidRDefault="00000000">
      <w:pPr>
        <w:spacing w:after="40" w:line="266" w:lineRule="auto"/>
        <w:ind w:left="300" w:hanging="300"/>
      </w:pPr>
      <w:r>
        <w:rPr>
          <w:rFonts w:ascii="Arial" w:eastAsia="Arial" w:hAnsi="Arial"/>
          <w:b/>
          <w:bCs/>
          <w:color w:val="15512F"/>
        </w:rPr>
        <w:lastRenderedPageBreak/>
        <w:t xml:space="preserve">9.7  </w:t>
      </w:r>
      <w:r>
        <w:rPr>
          <w:rFonts w:ascii="Arial" w:eastAsia="Arial" w:hAnsi="Arial"/>
          <w:color w:val="1A1A1A"/>
        </w:rPr>
        <w:t>Where the product cannot be terminally sterilised, sterilisation by filtration shall use a validated sterilising-grade filter (nominally 0.22 µm or finer). The filter shall be demonstrated to be compatible with the product, not to shed fibres, and not to adversely affect the product through adsorption or leaching. A second redundant sterilising-grade filter immediately prior to the point of fill should be considered, the need for which shall be assessed within the CCS. Bioburden prior to the final filter shall be controlled and limited (commonly ≤ 10 CFU/100 mL).</w:t>
      </w:r>
    </w:p>
    <w:p w14:paraId="29892761" w14:textId="77777777" w:rsidR="00CD5946" w:rsidRDefault="00000000">
      <w:pPr>
        <w:bidi/>
        <w:spacing w:after="150" w:line="300" w:lineRule="auto"/>
        <w:ind w:right="300" w:hanging="300"/>
        <w:jc w:val="right"/>
      </w:pPr>
      <w:r>
        <w:rPr>
          <w:rFonts w:ascii="Arial" w:eastAsia="Arial" w:hAnsi="Arial"/>
          <w:color w:val="333333"/>
          <w:sz w:val="20"/>
          <w:szCs w:val="20"/>
          <w:rtl/>
        </w:rPr>
        <w:t>حيث لا يمكن التعقيم النهائي يُستخدم التعقيم بالترشيح عبر مرشّح تعقيمي مُتحقّق (⁦</w:t>
      </w:r>
      <w:r>
        <w:rPr>
          <w:rFonts w:ascii="Arial" w:eastAsia="Arial" w:hAnsi="Arial"/>
          <w:color w:val="333333"/>
          <w:sz w:val="20"/>
          <w:szCs w:val="20"/>
        </w:rPr>
        <w:t>0.22 µm</w:t>
      </w:r>
      <w:r>
        <w:rPr>
          <w:rFonts w:ascii="Arial" w:eastAsia="Arial" w:hAnsi="Arial"/>
          <w:color w:val="333333"/>
          <w:sz w:val="20"/>
          <w:szCs w:val="20"/>
          <w:rtl/>
        </w:rPr>
        <w:t>⁩ أو أدقّ). ويُثبت توافق المرشّح مع المنتج، وعدم نسله للألياف، وعدم تأثيره سلباً بالامتزاز أو الانحلال. ويُنظَر في مرشّح ثانٍ احتياطي قبيل نقطة التعبئة، تُقيّم الحاجة إليه ضمن استراتيجية ضبط التلوث. ويُضبط الحمل الميكروبي قبل المرشّح النهائي ويُحدّ (عادةً ⁦</w:t>
      </w:r>
      <w:r>
        <w:rPr>
          <w:rFonts w:ascii="Arial" w:eastAsia="Arial" w:hAnsi="Arial"/>
          <w:color w:val="333333"/>
          <w:sz w:val="20"/>
          <w:szCs w:val="20"/>
        </w:rPr>
        <w:t>≤ 10 CFU/100 mL</w:t>
      </w:r>
      <w:r>
        <w:rPr>
          <w:rFonts w:ascii="Arial" w:eastAsia="Arial" w:hAnsi="Arial"/>
          <w:color w:val="333333"/>
          <w:sz w:val="20"/>
          <w:szCs w:val="20"/>
          <w:rtl/>
        </w:rPr>
        <w:t>⁩).</w:t>
      </w:r>
      <w:r>
        <w:rPr>
          <w:rFonts w:ascii="Arial" w:eastAsia="Arial" w:hAnsi="Arial"/>
          <w:b/>
          <w:bCs/>
          <w:color w:val="15512F"/>
          <w:sz w:val="20"/>
          <w:szCs w:val="20"/>
          <w:rtl/>
        </w:rPr>
        <w:t xml:space="preserve">  ⁦</w:t>
      </w:r>
      <w:r>
        <w:rPr>
          <w:rFonts w:ascii="Arial" w:eastAsia="Arial" w:hAnsi="Arial"/>
          <w:b/>
          <w:bCs/>
          <w:color w:val="15512F"/>
          <w:sz w:val="20"/>
          <w:szCs w:val="20"/>
        </w:rPr>
        <w:t>9.7</w:t>
      </w:r>
      <w:r>
        <w:rPr>
          <w:rFonts w:ascii="Arial" w:eastAsia="Arial" w:hAnsi="Arial"/>
          <w:b/>
          <w:bCs/>
          <w:color w:val="15512F"/>
          <w:sz w:val="20"/>
          <w:szCs w:val="20"/>
          <w:rtl/>
        </w:rPr>
        <w:t>⁩</w:t>
      </w:r>
    </w:p>
    <w:p w14:paraId="0DB87401" w14:textId="77777777" w:rsidR="00CD5946" w:rsidRDefault="00000000">
      <w:pPr>
        <w:spacing w:after="40" w:line="266" w:lineRule="auto"/>
        <w:ind w:left="300" w:hanging="300"/>
      </w:pPr>
      <w:r>
        <w:rPr>
          <w:rFonts w:ascii="Arial" w:eastAsia="Arial" w:hAnsi="Arial"/>
          <w:b/>
          <w:bCs/>
          <w:color w:val="15512F"/>
        </w:rPr>
        <w:t xml:space="preserve">9.8  </w:t>
      </w:r>
      <w:r>
        <w:rPr>
          <w:rFonts w:ascii="Arial" w:eastAsia="Arial" w:hAnsi="Arial"/>
          <w:color w:val="1A1A1A"/>
        </w:rPr>
        <w:t>The integrity of the sterilised filter assembly shall be verified by a pre-use post-sterilisation integrity test (PUPSIT) before use. Where PUPSIT is not possible due to process constraints, an alternative approach may be taken provided a thorough, documented risk assessment is performed and compensating controls are implemented (see Note). Filter integrity shall also be verified by a validated method (bubble-point, diffusive-flow or pressure-hold) after use. A filter that fails the post-use integrity test shall invalidate the filtered batch unless a justified, documented investigation demonstrates otherwise. The maximum permitted filtration time and the maximum pressure differential shall be defined and not exceeded.</w:t>
      </w:r>
    </w:p>
    <w:p w14:paraId="784713F1"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يُتحقّق من سلامة مجموعة المرشّح المعقّمة باختبار السلامة قبل الاستخدام بعد التعقيم (PUPSIT) قاعدةً عامة؛ وحيث يتعذّر ذلك لقيود في العملية يجوز نهج بديل شريطة تقييم مخاطر موثّق وضوابط تعويضية (انظر الملاحظة). ويُتحقّق من السلامة بعد الاستخدام بطريقة مُتحقّقة (نقطة الفقاعة أو التدفّق الانتشاري أو ثبات الضغط)؛ وإخفاق اختبار السلامة بعد الاستخدام يُبطل الدفعة المُرشّحة ما لم يُثبت تحقيق موثّق خلاف ذلك. وتُحدّد أقصى مدّة ترشيح وأقصى فرق ضغط ولا يُتجاوزان.  ⁦9.8⁩</w:t>
      </w:r>
    </w:p>
    <w:p w14:paraId="59D4ECA0" w14:textId="77777777" w:rsidR="00CD5946" w:rsidRDefault="00000000">
      <w:pPr>
        <w:spacing w:after="40" w:line="266" w:lineRule="auto"/>
        <w:ind w:left="300" w:hanging="300"/>
      </w:pPr>
      <w:r>
        <w:rPr>
          <w:rFonts w:ascii="Arial" w:eastAsia="Arial" w:hAnsi="Arial"/>
          <w:b/>
          <w:bCs/>
          <w:color w:val="15512F"/>
        </w:rPr>
        <w:t xml:space="preserve">9.9  </w:t>
      </w:r>
      <w:r>
        <w:rPr>
          <w:rFonts w:ascii="Arial" w:eastAsia="Arial" w:hAnsi="Arial"/>
          <w:color w:val="1A1A1A"/>
        </w:rPr>
        <w:t>Blow-fill-seal (BFS) and form-fill-seal (FFS) systems shall be designed, qualified and operated to protect the product during forming, filling and sealing. The air used for container formation and the parison/web environment shall be of appropriate quality, the critical filling zone shall meet Grade A conditions, and the integrity of the formed and sealed container shall be assured and verified. Shot-weight, seal integrity and the critical processing parameters shall be monitored.</w:t>
      </w:r>
    </w:p>
    <w:p w14:paraId="58869B80" w14:textId="77777777" w:rsidR="00CD5946" w:rsidRDefault="00000000">
      <w:pPr>
        <w:bidi/>
        <w:spacing w:after="150" w:line="300" w:lineRule="auto"/>
        <w:ind w:right="300" w:hanging="300"/>
        <w:jc w:val="right"/>
      </w:pPr>
      <w:r>
        <w:rPr>
          <w:rFonts w:ascii="Arial" w:eastAsia="Arial" w:hAnsi="Arial"/>
          <w:color w:val="333333"/>
          <w:sz w:val="20"/>
          <w:szCs w:val="20"/>
          <w:rtl/>
        </w:rPr>
        <w:t>تُصمّم وتُؤهّل أنظمة النفخ-التعبئة-الإغلاق (</w:t>
      </w:r>
      <w:r>
        <w:rPr>
          <w:rFonts w:ascii="Arial" w:eastAsia="Arial" w:hAnsi="Arial"/>
          <w:color w:val="333333"/>
          <w:sz w:val="20"/>
          <w:szCs w:val="20"/>
        </w:rPr>
        <w:t>BFS</w:t>
      </w:r>
      <w:r>
        <w:rPr>
          <w:rFonts w:ascii="Arial" w:eastAsia="Arial" w:hAnsi="Arial"/>
          <w:color w:val="333333"/>
          <w:sz w:val="20"/>
          <w:szCs w:val="20"/>
          <w:rtl/>
        </w:rPr>
        <w:t>) والتشكيل-التعبئة-الإغلاق (</w:t>
      </w:r>
      <w:r>
        <w:rPr>
          <w:rFonts w:ascii="Arial" w:eastAsia="Arial" w:hAnsi="Arial"/>
          <w:color w:val="333333"/>
          <w:sz w:val="20"/>
          <w:szCs w:val="20"/>
        </w:rPr>
        <w:t>FFS</w:t>
      </w:r>
      <w:r>
        <w:rPr>
          <w:rFonts w:ascii="Arial" w:eastAsia="Arial" w:hAnsi="Arial"/>
          <w:color w:val="333333"/>
          <w:sz w:val="20"/>
          <w:szCs w:val="20"/>
          <w:rtl/>
        </w:rPr>
        <w:t xml:space="preserve">) لحماية المنتج أثناء التشكيل والتعبئة والإغلاق. ويكون الهواء المستخدم لتشكيل العبوة وبيئة المنطقة ذا جودة مناسبة، وتستوفي منطقة التعبئة الحرجة ظروف الدرجة </w:t>
      </w:r>
      <w:r>
        <w:rPr>
          <w:rFonts w:ascii="Arial" w:eastAsia="Arial" w:hAnsi="Arial"/>
          <w:color w:val="333333"/>
          <w:sz w:val="20"/>
          <w:szCs w:val="20"/>
        </w:rPr>
        <w:t>A</w:t>
      </w:r>
      <w:r>
        <w:rPr>
          <w:rFonts w:ascii="Arial" w:eastAsia="Arial" w:hAnsi="Arial"/>
          <w:color w:val="333333"/>
          <w:sz w:val="20"/>
          <w:szCs w:val="20"/>
          <w:rtl/>
        </w:rPr>
        <w:t>، وتُضمن سلامة العبوة المُشكّلة والمغلقة وتُتحقّق. وتُراقَب الأوزان وسلامة الإغلاق والمتغيّرات الحرجة.</w:t>
      </w:r>
      <w:r>
        <w:rPr>
          <w:rFonts w:ascii="Arial" w:eastAsia="Arial" w:hAnsi="Arial"/>
          <w:b/>
          <w:bCs/>
          <w:color w:val="15512F"/>
          <w:sz w:val="20"/>
          <w:szCs w:val="20"/>
          <w:rtl/>
        </w:rPr>
        <w:t xml:space="preserve">  ⁦</w:t>
      </w:r>
      <w:r>
        <w:rPr>
          <w:rFonts w:ascii="Arial" w:eastAsia="Arial" w:hAnsi="Arial"/>
          <w:b/>
          <w:bCs/>
          <w:color w:val="15512F"/>
          <w:sz w:val="20"/>
          <w:szCs w:val="20"/>
        </w:rPr>
        <w:t>9.9</w:t>
      </w:r>
      <w:r>
        <w:rPr>
          <w:rFonts w:ascii="Arial" w:eastAsia="Arial" w:hAnsi="Arial"/>
          <w:b/>
          <w:bCs/>
          <w:color w:val="15512F"/>
          <w:sz w:val="20"/>
          <w:szCs w:val="20"/>
          <w:rtl/>
        </w:rPr>
        <w:t>⁩</w:t>
      </w:r>
    </w:p>
    <w:p w14:paraId="3F08747D" w14:textId="77777777" w:rsidR="00CD5946" w:rsidRDefault="00000000">
      <w:pPr>
        <w:spacing w:after="40" w:line="266" w:lineRule="auto"/>
        <w:ind w:left="300" w:hanging="300"/>
      </w:pPr>
      <w:r>
        <w:rPr>
          <w:rFonts w:ascii="Arial" w:eastAsia="Arial" w:hAnsi="Arial"/>
          <w:b/>
          <w:bCs/>
          <w:color w:val="15512F"/>
        </w:rPr>
        <w:t xml:space="preserve">9.10  </w:t>
      </w:r>
      <w:r>
        <w:rPr>
          <w:rFonts w:ascii="Arial" w:eastAsia="Arial" w:hAnsi="Arial"/>
          <w:color w:val="1A1A1A"/>
        </w:rPr>
        <w:t>Lyophilisation (freeze-drying) is an extension of the aseptic process; partially stoppered containers shall be protected under Grade A conditions during transfer to, loading into, and unloading from the lyophiliser. Loading and unloading should be automated or otherwise protected to minimise operator intervention. Chamber sterilisation, the integrity of the loading system and the control of the freeze-drying cycle shall be qualified, and the time products are exposed shall be minimised and controlled.</w:t>
      </w:r>
    </w:p>
    <w:p w14:paraId="4269A3F8"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يُعدّ التجفيد بالتجميد امتداداً للعملية العقيمة؛ وتُحمى العبوات المسدودة جزئيّاً تحت ظروف الدرجة </w:t>
      </w:r>
      <w:r>
        <w:rPr>
          <w:rFonts w:ascii="Arial" w:eastAsia="Arial" w:hAnsi="Arial"/>
          <w:color w:val="333333"/>
          <w:sz w:val="20"/>
          <w:szCs w:val="20"/>
        </w:rPr>
        <w:t>A</w:t>
      </w:r>
      <w:r>
        <w:rPr>
          <w:rFonts w:ascii="Arial" w:eastAsia="Arial" w:hAnsi="Arial"/>
          <w:color w:val="333333"/>
          <w:sz w:val="20"/>
          <w:szCs w:val="20"/>
          <w:rtl/>
        </w:rPr>
        <w:t xml:space="preserve"> أثناء النقل إلى المجفّد وتحميله وتفريغه. ويُفضّل أن يكون التحميل والتفريغ آليّاً لتقليل تدخّل المشغّل. ويُؤهّل تعقيم الحجرة وسلامة نظام التحميل وضبط دورة التجفيف، ويُقلّل زمن تعرّض المنتجات ويُضبط.</w:t>
      </w:r>
      <w:r>
        <w:rPr>
          <w:rFonts w:ascii="Arial" w:eastAsia="Arial" w:hAnsi="Arial"/>
          <w:b/>
          <w:bCs/>
          <w:color w:val="15512F"/>
          <w:sz w:val="20"/>
          <w:szCs w:val="20"/>
          <w:rtl/>
        </w:rPr>
        <w:t xml:space="preserve">  ⁦</w:t>
      </w:r>
      <w:r>
        <w:rPr>
          <w:rFonts w:ascii="Arial" w:eastAsia="Arial" w:hAnsi="Arial"/>
          <w:b/>
          <w:bCs/>
          <w:color w:val="15512F"/>
          <w:sz w:val="20"/>
          <w:szCs w:val="20"/>
        </w:rPr>
        <w:t>9.10</w:t>
      </w:r>
      <w:r>
        <w:rPr>
          <w:rFonts w:ascii="Arial" w:eastAsia="Arial" w:hAnsi="Arial"/>
          <w:b/>
          <w:bCs/>
          <w:color w:val="15512F"/>
          <w:sz w:val="20"/>
          <w:szCs w:val="20"/>
          <w:rtl/>
        </w:rPr>
        <w:t>⁩</w:t>
      </w:r>
    </w:p>
    <w:p w14:paraId="69C442A6" w14:textId="77777777" w:rsidR="00CD5946" w:rsidRDefault="00000000">
      <w:pPr>
        <w:spacing w:after="40" w:line="266" w:lineRule="auto"/>
        <w:ind w:left="300" w:hanging="300"/>
      </w:pPr>
      <w:r>
        <w:rPr>
          <w:rFonts w:ascii="Arial" w:eastAsia="Arial" w:hAnsi="Arial"/>
          <w:b/>
          <w:bCs/>
          <w:color w:val="15512F"/>
        </w:rPr>
        <w:t xml:space="preserve">9.11  </w:t>
      </w:r>
      <w:r>
        <w:rPr>
          <w:rFonts w:ascii="Arial" w:eastAsia="Arial" w:hAnsi="Arial"/>
          <w:color w:val="1A1A1A"/>
        </w:rPr>
        <w:t>Closed systems, single-use systems and pre-sterilised assemblies shall be used, where appropriate, to reduce the risk of contamination, and the making and breaking of aseptic connections shall be performed using qualified devices or under Grade A protection. The integrity of single-use systems and of aseptic connections shall be assured by design, supplier qualification and, where feasible, in-process verification; the assembly shall be sterilised by a validated method and protected until and during use.</w:t>
      </w:r>
    </w:p>
    <w:p w14:paraId="293DC72D"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تُستخدم الأنظمة المغلقة وأحادية الاستخدام والمجمّعات المُعقّمة مُسبقاً، عند الاقتضاء، لخفض خطر التلوث؛ وتُجرى إقامة الوصلات العقيمة وفصلها بأجهزة مؤهّلة أو تحت حماية الدرجة </w:t>
      </w:r>
      <w:r>
        <w:rPr>
          <w:rFonts w:ascii="Arial" w:eastAsia="Arial" w:hAnsi="Arial"/>
          <w:color w:val="333333"/>
          <w:sz w:val="20"/>
          <w:szCs w:val="20"/>
        </w:rPr>
        <w:t>A</w:t>
      </w:r>
      <w:r>
        <w:rPr>
          <w:rFonts w:ascii="Arial" w:eastAsia="Arial" w:hAnsi="Arial"/>
          <w:color w:val="333333"/>
          <w:sz w:val="20"/>
          <w:szCs w:val="20"/>
          <w:rtl/>
        </w:rPr>
        <w:t>. وتُضمن سلامة الأنظمة أحادية الاستخدام والوصلات بالتصميم وتأهيل المورّد والتحقّق أثناء العملية حيث أمكن، ويُعقّم المجمّع بطريقة مُتحقّقة ويُحمى حتّى الاستخدام وأثناءه.</w:t>
      </w:r>
      <w:r>
        <w:rPr>
          <w:rFonts w:ascii="Arial" w:eastAsia="Arial" w:hAnsi="Arial"/>
          <w:b/>
          <w:bCs/>
          <w:color w:val="15512F"/>
          <w:sz w:val="20"/>
          <w:szCs w:val="20"/>
          <w:rtl/>
        </w:rPr>
        <w:t xml:space="preserve">  ⁦</w:t>
      </w:r>
      <w:r>
        <w:rPr>
          <w:rFonts w:ascii="Arial" w:eastAsia="Arial" w:hAnsi="Arial"/>
          <w:b/>
          <w:bCs/>
          <w:color w:val="15512F"/>
          <w:sz w:val="20"/>
          <w:szCs w:val="20"/>
        </w:rPr>
        <w:t>9.11</w:t>
      </w:r>
      <w:r>
        <w:rPr>
          <w:rFonts w:ascii="Arial" w:eastAsia="Arial" w:hAnsi="Arial"/>
          <w:b/>
          <w:bCs/>
          <w:color w:val="15512F"/>
          <w:sz w:val="20"/>
          <w:szCs w:val="20"/>
          <w:rtl/>
        </w:rPr>
        <w:t>⁩</w:t>
      </w:r>
    </w:p>
    <w:p w14:paraId="420EE044" w14:textId="77777777" w:rsidR="00CD5946" w:rsidRDefault="00000000">
      <w:pPr>
        <w:spacing w:after="40" w:line="266" w:lineRule="auto"/>
        <w:ind w:left="300" w:hanging="300"/>
      </w:pPr>
      <w:r>
        <w:rPr>
          <w:rFonts w:ascii="Arial" w:eastAsia="Arial" w:hAnsi="Arial"/>
          <w:b/>
          <w:bCs/>
          <w:color w:val="15512F"/>
        </w:rPr>
        <w:lastRenderedPageBreak/>
        <w:t xml:space="preserve">9.12  </w:t>
      </w:r>
      <w:r>
        <w:rPr>
          <w:rFonts w:ascii="Arial" w:eastAsia="Arial" w:hAnsi="Arial"/>
          <w:color w:val="1A1A1A"/>
        </w:rPr>
        <w:t>Container closure, including stoppering and capping/crimping, shall be performed so as to maintain sterility and container-closure integrity. Vial capping may be undertaken as an aseptic process using sterilised caps, or as a clean process with an appropriate justification and background environment; in either case the area shall be designed to remove particles and to prevent mix-ups, and improperly sealed units shall be detected and rejected. Stoppered vials shall be protected by a Grade A air supply until the cap has been crimped, and the background environment for the Grade A air supply shall be at least Grade D; vials with missing or displaced stoppers shall be rejected prior to capping; where human intervention occurs at the capping station, appropriate technological measures (RABS, isolators) shall be used. The time between filling/stoppering and capping shall be controlled.</w:t>
      </w:r>
    </w:p>
    <w:p w14:paraId="4FBE5F27" w14:textId="77777777" w:rsidR="00CD5946" w:rsidRDefault="00000000">
      <w:pPr>
        <w:bidi/>
        <w:spacing w:after="150" w:line="300" w:lineRule="auto"/>
        <w:ind w:right="300" w:hanging="300"/>
        <w:jc w:val="right"/>
      </w:pPr>
      <w:r>
        <w:rPr>
          <w:rFonts w:ascii="Arial" w:eastAsia="Arial" w:hAnsi="Arial"/>
          <w:color w:val="333333"/>
          <w:sz w:val="20"/>
          <w:szCs w:val="20"/>
          <w:rtl/>
        </w:rPr>
        <w:t>يُجرى إغلاق العبوة — السدّ والتغطية/الكبس — بما يحفظ التعقيم وسلامة العبوة-الإغلاق. وقد يُنفّذ كبس القوارير كعملية عقيمة بأغطية مُعقّمة، أو كعملية نظيفة بتبرير مناسب وبيئة خلفية ملائمة؛ وفي الحالتين تُصمّم المنطقة لإزالة الجسيمات ومنع الخلط، وتُكتشف الوحدات غير المغلقة جيّداً وتُرفض. وتُحمى القوارير المسدودة بإمداد هواء بالدرجة A حتى كبس الغطاء، وتكون بيئة هذا الإمداد بالدرجة D على الأقل؛ وتُرفض القوارير الناقصة السداد أو المُزاح سدادها قبل الكبس؛ وعند التدخّل البشري في محطة الكبس تُستخدم تدابير تقنية مناسبة (RABS أو عوازل). ويُضبط الزمن بين التعبئة/السدّ والكبس.</w:t>
      </w:r>
      <w:r>
        <w:rPr>
          <w:rFonts w:ascii="Arial" w:eastAsia="Arial" w:hAnsi="Arial"/>
          <w:b/>
          <w:bCs/>
          <w:color w:val="15512F"/>
          <w:sz w:val="20"/>
          <w:szCs w:val="20"/>
          <w:rtl/>
        </w:rPr>
        <w:t xml:space="preserve">  ⁦</w:t>
      </w:r>
      <w:r>
        <w:rPr>
          <w:rFonts w:ascii="Arial" w:eastAsia="Arial" w:hAnsi="Arial"/>
          <w:b/>
          <w:bCs/>
          <w:color w:val="15512F"/>
          <w:sz w:val="20"/>
          <w:szCs w:val="20"/>
        </w:rPr>
        <w:t>9.12</w:t>
      </w:r>
      <w:r>
        <w:rPr>
          <w:rFonts w:ascii="Arial" w:eastAsia="Arial" w:hAnsi="Arial"/>
          <w:b/>
          <w:bCs/>
          <w:color w:val="15512F"/>
          <w:sz w:val="20"/>
          <w:szCs w:val="20"/>
          <w:rtl/>
        </w:rPr>
        <w:t>⁩</w:t>
      </w:r>
    </w:p>
    <w:p w14:paraId="55553BD3" w14:textId="77777777" w:rsidR="00CD5946" w:rsidRDefault="00000000">
      <w:pPr>
        <w:spacing w:after="40" w:line="266" w:lineRule="auto"/>
        <w:ind w:left="300" w:hanging="300"/>
      </w:pPr>
      <w:r>
        <w:rPr>
          <w:rFonts w:ascii="Arial" w:eastAsia="Arial" w:hAnsi="Arial"/>
          <w:b/>
          <w:bCs/>
          <w:color w:val="15512F"/>
        </w:rPr>
        <w:t xml:space="preserve">9.13  </w:t>
      </w:r>
      <w:r>
        <w:rPr>
          <w:rFonts w:ascii="Arial" w:eastAsia="Arial" w:hAnsi="Arial"/>
          <w:color w:val="1A1A1A"/>
        </w:rPr>
        <w:t>Container-closure integrity (CCI) shall be assured throughout the product lifecycle and verified by validated methods appropriate to the container system (for example deterministic methods such as high-voltage leak detection, vacuum decay or headspace analysis). Every filled unit shall be inspected for integrity and for visible particulate and other defects by a validated manual or automated method; the inspection process shall be qualified, and defect libraries and reject criteria shall be defined and periodically reviewed.</w:t>
      </w:r>
    </w:p>
    <w:p w14:paraId="41E4F3A1" w14:textId="77777777" w:rsidR="00CD5946" w:rsidRDefault="00000000">
      <w:pPr>
        <w:bidi/>
        <w:spacing w:after="150" w:line="300" w:lineRule="auto"/>
        <w:ind w:right="300" w:hanging="300"/>
        <w:jc w:val="right"/>
      </w:pPr>
      <w:r>
        <w:rPr>
          <w:rFonts w:ascii="Arial" w:eastAsia="Arial" w:hAnsi="Arial"/>
          <w:color w:val="333333"/>
          <w:sz w:val="20"/>
          <w:szCs w:val="20"/>
          <w:rtl/>
        </w:rPr>
        <w:t>تُضمن سلامة العبوة-الإغلاق (</w:t>
      </w:r>
      <w:r>
        <w:rPr>
          <w:rFonts w:ascii="Arial" w:eastAsia="Arial" w:hAnsi="Arial"/>
          <w:color w:val="333333"/>
          <w:sz w:val="20"/>
          <w:szCs w:val="20"/>
        </w:rPr>
        <w:t>CCI</w:t>
      </w:r>
      <w:r>
        <w:rPr>
          <w:rFonts w:ascii="Arial" w:eastAsia="Arial" w:hAnsi="Arial"/>
          <w:color w:val="333333"/>
          <w:sz w:val="20"/>
          <w:szCs w:val="20"/>
          <w:rtl/>
        </w:rPr>
        <w:t>) طوال دورة حياة المنتج وتُتحقّق بطرائق مُتحقّقة مناسبة لنظام العبوة (كالطرائق الحتمية مثل كشف التسرّب بالجهد العالي أو انحلال التفريغ أو تحليل الحيّز العلوي). وتُفحص كل وحدة معبّأة للسلامة وللجسيمات المرئية والعيوب بطريقة يدوية أو آلية مُتحقّقة؛ وتُؤهّل عملية الفحص، وتُحدّد مكتبات العيوب ومعايير الرفض وتُراجَع دوريّاً.</w:t>
      </w:r>
      <w:r>
        <w:rPr>
          <w:rFonts w:ascii="Arial" w:eastAsia="Arial" w:hAnsi="Arial"/>
          <w:b/>
          <w:bCs/>
          <w:color w:val="15512F"/>
          <w:sz w:val="20"/>
          <w:szCs w:val="20"/>
          <w:rtl/>
        </w:rPr>
        <w:t xml:space="preserve">  ⁦</w:t>
      </w:r>
      <w:r>
        <w:rPr>
          <w:rFonts w:ascii="Arial" w:eastAsia="Arial" w:hAnsi="Arial"/>
          <w:b/>
          <w:bCs/>
          <w:color w:val="15512F"/>
          <w:sz w:val="20"/>
          <w:szCs w:val="20"/>
        </w:rPr>
        <w:t>9.13</w:t>
      </w:r>
      <w:r>
        <w:rPr>
          <w:rFonts w:ascii="Arial" w:eastAsia="Arial" w:hAnsi="Arial"/>
          <w:b/>
          <w:bCs/>
          <w:color w:val="15512F"/>
          <w:sz w:val="20"/>
          <w:szCs w:val="20"/>
          <w:rtl/>
        </w:rPr>
        <w:t>⁩</w:t>
      </w:r>
    </w:p>
    <w:p w14:paraId="07634980" w14:textId="77777777" w:rsidR="00CD5946" w:rsidRDefault="00000000">
      <w:pP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Under the superseded 2008 Annex 1, graded acceptance criteria by fill size (one or two contaminated units tolerated in larger runs) applied. Annex 1 (2022) abolished them: any contaminated unit, at any run size, is a failed simulation (clause 9.2). Legacy procedures still carrying graded acceptance criteria shall be revised accordingly.</w:t>
      </w:r>
    </w:p>
    <w:p w14:paraId="07075718" w14:textId="77777777" w:rsidR="00CD5946" w:rsidRDefault="00000000">
      <w:pPr>
        <w:bidi/>
        <w:spacing w:after="140"/>
        <w:ind w:right="300"/>
        <w:jc w:val="right"/>
      </w:pPr>
      <w:r>
        <w:rPr>
          <w:rFonts w:ascii="Arial" w:eastAsia="Arial" w:hAnsi="Arial"/>
          <w:color w:val="5A5A5A"/>
          <w:sz w:val="18"/>
          <w:szCs w:val="18"/>
          <w:rtl/>
        </w:rPr>
        <w:t xml:space="preserve">كانت معايير القبول المتدرّجة بحسب حجم التعبئة تنتمي إلى ملحق 2008 الملغى؛ أمّا ملحق 2022 فقد ألغاها: أيّ وحدة ملوّثة، مهما كان الحجم، تعني إخفاق المحاكاة (البند ⁦9.2⁩). وتُنقَّح الإجراءات القديمة التي ما تزال تحمل المعايير المتدرّجة.  ملاحظة.</w:t>
      </w:r>
    </w:p>
    <w:p w14:paraId="3FA4F1E9" w14:textId="77777777" w:rsidR="00CD5946" w:rsidRDefault="00000000">
      <w:pP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Example — PUPSIT rationale: a pre-use post-sterilisation integrity test is intended to detect a filter that was damaged during sterilisation or installation, where such damage could be masked during filtration (for example by the product itself blocking a flaw). Where the risk assessment justifies omitting PUPSIT, the justification and the compensating controls shall be documented in the CCS.</w:t>
      </w:r>
    </w:p>
    <w:p w14:paraId="35E14858" w14:textId="77777777" w:rsidR="00CD5946" w:rsidRDefault="00000000">
      <w:pPr>
        <w:bidi/>
        <w:spacing w:after="140"/>
        <w:ind w:right="300"/>
        <w:jc w:val="right"/>
      </w:pPr>
      <w:r>
        <w:rPr>
          <w:rFonts w:ascii="Arial" w:eastAsia="Arial" w:hAnsi="Arial"/>
          <w:color w:val="5A5A5A"/>
          <w:sz w:val="18"/>
          <w:szCs w:val="18"/>
          <w:rtl/>
        </w:rPr>
        <w:t xml:space="preserve">مثال — مبرّر </w:t>
      </w:r>
      <w:r>
        <w:rPr>
          <w:rFonts w:ascii="Arial" w:eastAsia="Arial" w:hAnsi="Arial"/>
          <w:color w:val="5A5A5A"/>
          <w:sz w:val="18"/>
          <w:szCs w:val="18"/>
        </w:rPr>
        <w:t>PUPSIT</w:t>
      </w:r>
      <w:r>
        <w:rPr>
          <w:rFonts w:ascii="Arial" w:eastAsia="Arial" w:hAnsi="Arial"/>
          <w:color w:val="5A5A5A"/>
          <w:sz w:val="18"/>
          <w:szCs w:val="18"/>
          <w:rtl/>
        </w:rPr>
        <w:t>: يهدف اختبار السلامة قبل الاستخدام بعد التعقيم إلى كشف المرشّح المتضرّر أثناء التعقيم أو التركيب، حيث قد يُخفي المنتج نفسه عيباً أثناء الترشيح. وحيث يُبرّر تقييم المخاطر إغفاله تُوثّق المبرّرات والضوابط المعوّضة في استراتيجية ضبط التلوث.</w:t>
      </w:r>
      <w:r>
        <w:rPr>
          <w:rFonts w:ascii="Arial" w:eastAsia="Arial" w:hAnsi="Arial"/>
          <w:b/>
          <w:bCs/>
          <w:color w:val="5A5A5A"/>
          <w:sz w:val="18"/>
          <w:szCs w:val="18"/>
          <w:rtl/>
        </w:rPr>
        <w:t xml:space="preserve">  ملاحظة.</w:t>
      </w:r>
    </w:p>
    <w:p w14:paraId="1EA12380" w14:textId="77777777" w:rsidR="00CD5946" w:rsidRDefault="00000000">
      <w:pPr>
        <w:pStyle w:val="Heading2"/>
        <w:spacing w:before="220"/>
      </w:pPr>
      <w:bookmarkStart w:id="132" w:name="__RefHeading___Toc9421_1729075678"/>
      <w:bookmarkEnd w:id="132"/>
      <w:r>
        <w:t>10.  Environmental and process monitoring</w:t>
      </w:r>
      <w:r>
        <w:rPr>
          <w:b w:val="0"/>
          <w:bCs w:val="0"/>
          <w:color w:val="1A1A1A"/>
          <w:sz w:val="21"/>
          <w:szCs w:val="21"/>
        </w:rPr>
        <w:t xml:space="preserve">   </w:t>
      </w:r>
      <w:r>
        <w:rPr>
          <w:color w:val="C8A24B"/>
          <w:sz w:val="20"/>
          <w:szCs w:val="20"/>
          <w:rtl/>
        </w:rPr>
        <w:t>المراقبة البيئية ومراقبة العملية</w:t>
      </w:r>
    </w:p>
    <w:p w14:paraId="26DB9C93" w14:textId="77777777" w:rsidR="00CD5946" w:rsidRDefault="00000000">
      <w:pPr>
        <w:spacing w:after="40" w:line="266" w:lineRule="auto"/>
        <w:ind w:left="300" w:hanging="300"/>
      </w:pPr>
      <w:r>
        <w:rPr>
          <w:rFonts w:ascii="Arial" w:eastAsia="Arial" w:hAnsi="Arial"/>
          <w:b/>
          <w:bCs/>
          <w:color w:val="15512F"/>
        </w:rPr>
        <w:t xml:space="preserve">10.1  </w:t>
      </w:r>
      <w:r>
        <w:rPr>
          <w:rFonts w:ascii="Arial" w:eastAsia="Arial" w:hAnsi="Arial"/>
          <w:color w:val="1A1A1A"/>
        </w:rPr>
        <w:t>A monitoring programme, defined within the CCS and based on QRM, shall cover viable and non-viable particles, temperature, humidity, pressure differentials and airflow, with alert and action limits and defined responses to excursions. In Grade A and B, continuous monitoring of total particles shall be performed throughout the critical processing; viable monitoring (active air, settle plates, contact plates and gloved-finger sampling) shall be representative and shall include the duration of the critical operation.</w:t>
      </w:r>
    </w:p>
    <w:p w14:paraId="52127A49"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يغطّي برنامج المراقبة — المحدّد ضمن استراتيجية ضبط التلوث والقائم على إدارة المخاطر — الجسيمات الحيّة وغير الحيّة والحرارة والرطوبة وفروق الضغط والتدفّق، بحدود تنبيه وإجراء واستجابات محدّدة للتجاوزات. وفي الدرجتين </w:t>
      </w:r>
      <w:r>
        <w:rPr>
          <w:rFonts w:ascii="Arial" w:eastAsia="Arial" w:hAnsi="Arial"/>
          <w:color w:val="333333"/>
          <w:sz w:val="20"/>
          <w:szCs w:val="20"/>
        </w:rPr>
        <w:t>A</w:t>
      </w:r>
      <w:r>
        <w:rPr>
          <w:rFonts w:ascii="Arial" w:eastAsia="Arial" w:hAnsi="Arial"/>
          <w:color w:val="333333"/>
          <w:sz w:val="20"/>
          <w:szCs w:val="20"/>
          <w:rtl/>
        </w:rPr>
        <w:t xml:space="preserve"> و</w:t>
      </w:r>
      <w:r>
        <w:rPr>
          <w:rFonts w:ascii="Arial" w:eastAsia="Arial" w:hAnsi="Arial"/>
          <w:color w:val="333333"/>
          <w:sz w:val="20"/>
          <w:szCs w:val="20"/>
        </w:rPr>
        <w:t>B</w:t>
      </w:r>
      <w:r>
        <w:rPr>
          <w:rFonts w:ascii="Arial" w:eastAsia="Arial" w:hAnsi="Arial"/>
          <w:color w:val="333333"/>
          <w:sz w:val="20"/>
          <w:szCs w:val="20"/>
          <w:rtl/>
        </w:rPr>
        <w:t xml:space="preserve"> تُجرى مراقبة مستمرّة للجسيمات طوال المعالجة الحرجة؛ وتكون المراقبة الميكروبية (الهواء النشط وأطباق الترسّب والتلامس والقفّاز) ممثّلةً وتشمل مدّة العملية الحرجة.</w:t>
      </w:r>
      <w:r>
        <w:rPr>
          <w:rFonts w:ascii="Arial" w:eastAsia="Arial" w:hAnsi="Arial"/>
          <w:b/>
          <w:bCs/>
          <w:color w:val="15512F"/>
          <w:sz w:val="20"/>
          <w:szCs w:val="20"/>
          <w:rtl/>
        </w:rPr>
        <w:t xml:space="preserve">  ⁦</w:t>
      </w:r>
      <w:r>
        <w:rPr>
          <w:rFonts w:ascii="Arial" w:eastAsia="Arial" w:hAnsi="Arial"/>
          <w:b/>
          <w:bCs/>
          <w:color w:val="15512F"/>
          <w:sz w:val="20"/>
          <w:szCs w:val="20"/>
        </w:rPr>
        <w:t>10.1</w:t>
      </w:r>
      <w:r>
        <w:rPr>
          <w:rFonts w:ascii="Arial" w:eastAsia="Arial" w:hAnsi="Arial"/>
          <w:b/>
          <w:bCs/>
          <w:color w:val="15512F"/>
          <w:sz w:val="20"/>
          <w:szCs w:val="20"/>
          <w:rtl/>
        </w:rPr>
        <w:t>⁩</w:t>
      </w:r>
    </w:p>
    <w:p w14:paraId="29EA15EB" w14:textId="77777777" w:rsidR="00CD5946" w:rsidRDefault="00000000">
      <w:pPr>
        <w:spacing w:after="40" w:line="266" w:lineRule="auto"/>
        <w:ind w:left="300" w:hanging="300"/>
      </w:pPr>
      <w:r>
        <w:rPr>
          <w:rFonts w:ascii="Arial" w:eastAsia="Arial" w:hAnsi="Arial"/>
          <w:b/>
          <w:bCs/>
          <w:color w:val="15512F"/>
        </w:rPr>
        <w:t xml:space="preserve">10.2  </w:t>
      </w:r>
      <w:r>
        <w:rPr>
          <w:rFonts w:ascii="Arial" w:eastAsia="Arial" w:hAnsi="Arial"/>
          <w:color w:val="1A1A1A"/>
        </w:rPr>
        <w:t>A formal programme of trend analysis shall be applied to monitoring data; adverse trends shall be investigated even where individual results are within limits. Excursions beyond action limits shall be investigated for impact on product, with documented conclusions and CAPA. Microbial isolates from Grade A/B and from sterility-test failures shall be identified to species level where appropriate and assessed against the CCS and the facility microbial flora.</w:t>
      </w:r>
    </w:p>
    <w:p w14:paraId="14579238" w14:textId="77777777" w:rsidR="00CD5946" w:rsidRDefault="00000000">
      <w:pPr>
        <w:bidi/>
        <w:spacing w:after="150" w:line="300" w:lineRule="auto"/>
        <w:ind w:right="300" w:hanging="300"/>
        <w:jc w:val="right"/>
      </w:pPr>
      <w:r>
        <w:rPr>
          <w:rFonts w:ascii="Arial" w:eastAsia="Arial" w:hAnsi="Arial"/>
          <w:color w:val="333333"/>
          <w:sz w:val="20"/>
          <w:szCs w:val="20"/>
          <w:rtl/>
        </w:rPr>
        <w:lastRenderedPageBreak/>
        <w:t xml:space="preserve">يُطبّق برنامج رسمي لتحليل الاتجاهات؛ وتُحقّق الاتجاهات السلبية حتّى وإن كانت النتائج الفردية ضمن الحدود. وتُحقّق التجاوزات لحدود الإجراء لأثرها على المنتج مع استنتاجات موثّقة وإجراء تصحيحي ووقائي. وتُعرّف العزلات الميكروبية من </w:t>
      </w:r>
      <w:r>
        <w:rPr>
          <w:rFonts w:ascii="Arial" w:eastAsia="Arial" w:hAnsi="Arial"/>
          <w:color w:val="333333"/>
          <w:sz w:val="20"/>
          <w:szCs w:val="20"/>
        </w:rPr>
        <w:t>A/B</w:t>
      </w:r>
      <w:r>
        <w:rPr>
          <w:rFonts w:ascii="Arial" w:eastAsia="Arial" w:hAnsi="Arial"/>
          <w:color w:val="333333"/>
          <w:sz w:val="20"/>
          <w:szCs w:val="20"/>
          <w:rtl/>
        </w:rPr>
        <w:t xml:space="preserve"> ومن إخفاقات اختبار التعقيم إلى مستوى النوع عند الاقتضاء وتُقيّم مقابل الاستراتيجية والفلورا الميكروبية للمنشأة.</w:t>
      </w:r>
      <w:r>
        <w:rPr>
          <w:rFonts w:ascii="Arial" w:eastAsia="Arial" w:hAnsi="Arial"/>
          <w:b/>
          <w:bCs/>
          <w:color w:val="15512F"/>
          <w:sz w:val="20"/>
          <w:szCs w:val="20"/>
          <w:rtl/>
        </w:rPr>
        <w:t xml:space="preserve">  ⁦</w:t>
      </w:r>
      <w:r>
        <w:rPr>
          <w:rFonts w:ascii="Arial" w:eastAsia="Arial" w:hAnsi="Arial"/>
          <w:b/>
          <w:bCs/>
          <w:color w:val="15512F"/>
          <w:sz w:val="20"/>
          <w:szCs w:val="20"/>
        </w:rPr>
        <w:t>10.2</w:t>
      </w:r>
      <w:r>
        <w:rPr>
          <w:rFonts w:ascii="Arial" w:eastAsia="Arial" w:hAnsi="Arial"/>
          <w:b/>
          <w:bCs/>
          <w:color w:val="15512F"/>
          <w:sz w:val="20"/>
          <w:szCs w:val="20"/>
          <w:rtl/>
        </w:rPr>
        <w:t>⁩</w:t>
      </w:r>
    </w:p>
    <w:p w14:paraId="7E912A82" w14:textId="77777777" w:rsidR="00CD5946" w:rsidRDefault="00000000">
      <w:pPr>
        <w:spacing w:after="40" w:line="266" w:lineRule="auto"/>
        <w:ind w:left="300" w:hanging="300"/>
      </w:pPr>
      <w:r>
        <w:rPr>
          <w:rFonts w:ascii="Arial" w:eastAsia="Arial" w:hAnsi="Arial"/>
          <w:b/>
          <w:bCs/>
          <w:color w:val="15512F"/>
        </w:rPr>
        <w:t xml:space="preserve">10.3  </w:t>
      </w:r>
      <w:r>
        <w:rPr>
          <w:rFonts w:ascii="Arial" w:eastAsia="Arial" w:hAnsi="Arial"/>
          <w:color w:val="1A1A1A"/>
        </w:rPr>
        <w:t>Continuous total-particle monitoring in Grade A shall run — and a similar system is recommended for Grade B — throughout critical processing, with monitoring locations established by risk assessment near the point of fill and other vulnerable positions, avoiding interference with the unidirectional airflow. The monitoring system, including the data it generates, shall be subject to data-integrity controls (attributable, contemporaneous, complete and secure), and results shall be reconciled with the batch record.</w:t>
      </w:r>
    </w:p>
    <w:p w14:paraId="2218B7F6"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تُجرى مراقبة مستمرة للجسيمات الكلية في الدرجة A (ويُوصى بنظام مماثل للدرجة B) طوال المعالجة الحرجة، بمواقع تُحدّد بتقييم المخاطر قرب نقطة التعبئة والمواضع الأخرى المعرّضة، دون التداخل مع التدفّق أحادي الاتجاه. ويخضع نظام المراقبة وبياناته لضوابط سلامة البيانات (منسوبة، آنية، كاملة، آمنة)، وتُطابَق النتائج مع سجل الدفعة.  ⁦10.3⁩</w:t>
      </w:r>
    </w:p>
    <w:p w14:paraId="2956203A" w14:textId="77777777" w:rsidR="00CD5946" w:rsidRDefault="00000000">
      <w:pPr>
        <w:pStyle w:val="Heading2"/>
        <w:spacing w:before="220"/>
      </w:pPr>
      <w:bookmarkStart w:id="133" w:name="__RefHeading___Toc9423_1729075678"/>
      <w:bookmarkEnd w:id="133"/>
      <w:r>
        <w:t>11.  Quality control</w:t>
      </w:r>
      <w:r>
        <w:rPr>
          <w:b w:val="0"/>
          <w:bCs w:val="0"/>
          <w:color w:val="1A1A1A"/>
          <w:sz w:val="21"/>
          <w:szCs w:val="21"/>
        </w:rPr>
        <w:t xml:space="preserve">   </w:t>
      </w:r>
      <w:r>
        <w:rPr>
          <w:color w:val="C8A24B"/>
          <w:sz w:val="20"/>
          <w:szCs w:val="20"/>
          <w:rtl/>
        </w:rPr>
        <w:t>مراقبة الجودة</w:t>
      </w:r>
    </w:p>
    <w:p w14:paraId="681F0BF6" w14:textId="77777777" w:rsidR="00CD5946" w:rsidRDefault="00000000">
      <w:pPr>
        <w:spacing w:after="40" w:line="266" w:lineRule="auto"/>
        <w:ind w:left="300" w:hanging="300"/>
      </w:pPr>
      <w:r>
        <w:rPr>
          <w:rFonts w:ascii="Arial" w:eastAsia="Arial" w:hAnsi="Arial"/>
          <w:b/>
          <w:bCs/>
          <w:color w:val="15512F"/>
        </w:rPr>
        <w:t xml:space="preserve">11.1  </w:t>
      </w:r>
      <w:r>
        <w:rPr>
          <w:rFonts w:ascii="Arial" w:eastAsia="Arial" w:hAnsi="Arial"/>
          <w:color w:val="1A1A1A"/>
        </w:rPr>
        <w:t>The sterility test is a final control with known statistical limitations, and shall not be relied upon as the sole means of assuring sterility; sterility assurance derives from a validated process operated under a robust CCS. The test shall be performed under Grade A conditions (for example in an isolator), using validated methods (membrane filtration where feasible), with appropriate negative and positive (growth-promotion) controls and a justified sampling plan reflecting the batch and any worst-case positions.</w:t>
      </w:r>
    </w:p>
    <w:p w14:paraId="0A1AD3BB"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اختبار التعقيم ضبط نهائي ذو قيود إحصائية معروفة، ولا يُعتمد عليه وحده لضمان التعقيم؛ إذ ينبع ضمان التعقيم من عملية مُتحقّقة تحت استراتيجية رصينة. ويُجرى الاختبار في ظروف الدرجة </w:t>
      </w:r>
      <w:r>
        <w:rPr>
          <w:rFonts w:ascii="Arial" w:eastAsia="Arial" w:hAnsi="Arial"/>
          <w:color w:val="333333"/>
          <w:sz w:val="20"/>
          <w:szCs w:val="20"/>
        </w:rPr>
        <w:t>A</w:t>
      </w:r>
      <w:r>
        <w:rPr>
          <w:rFonts w:ascii="Arial" w:eastAsia="Arial" w:hAnsi="Arial"/>
          <w:color w:val="333333"/>
          <w:sz w:val="20"/>
          <w:szCs w:val="20"/>
          <w:rtl/>
        </w:rPr>
        <w:t xml:space="preserve"> (كعازل) بطرائق مُتحقّقة (الترشيح الغشائي حيث أمكن) مع ضوابط سالبة وموجبة وخطة عينات مُبرّرة.</w:t>
      </w:r>
      <w:r>
        <w:rPr>
          <w:rFonts w:ascii="Arial" w:eastAsia="Arial" w:hAnsi="Arial"/>
          <w:b/>
          <w:bCs/>
          <w:color w:val="15512F"/>
          <w:sz w:val="20"/>
          <w:szCs w:val="20"/>
          <w:rtl/>
        </w:rPr>
        <w:t xml:space="preserve">  ⁦</w:t>
      </w:r>
      <w:r>
        <w:rPr>
          <w:rFonts w:ascii="Arial" w:eastAsia="Arial" w:hAnsi="Arial"/>
          <w:b/>
          <w:bCs/>
          <w:color w:val="15512F"/>
          <w:sz w:val="20"/>
          <w:szCs w:val="20"/>
        </w:rPr>
        <w:t>11.1</w:t>
      </w:r>
      <w:r>
        <w:rPr>
          <w:rFonts w:ascii="Arial" w:eastAsia="Arial" w:hAnsi="Arial"/>
          <w:b/>
          <w:bCs/>
          <w:color w:val="15512F"/>
          <w:sz w:val="20"/>
          <w:szCs w:val="20"/>
          <w:rtl/>
        </w:rPr>
        <w:t>⁩</w:t>
      </w:r>
    </w:p>
    <w:p w14:paraId="42396DF9" w14:textId="77777777" w:rsidR="00CD5946" w:rsidRDefault="00000000">
      <w:pPr>
        <w:spacing w:after="40" w:line="266" w:lineRule="auto"/>
        <w:ind w:left="300" w:hanging="300"/>
      </w:pPr>
      <w:r>
        <w:rPr>
          <w:rFonts w:ascii="Arial" w:eastAsia="Arial" w:hAnsi="Arial"/>
          <w:b/>
          <w:bCs/>
          <w:color w:val="15512F"/>
        </w:rPr>
        <w:t xml:space="preserve">11.2  </w:t>
      </w:r>
      <w:r>
        <w:rPr>
          <w:rFonts w:ascii="Arial" w:eastAsia="Arial" w:hAnsi="Arial"/>
          <w:color w:val="1A1A1A"/>
        </w:rPr>
        <w:t>Where rapid or alternative microbiological methods are used (for example for bioburden, environmental monitoring or sterility), they shall be validated for the intended use and demonstrated to be at least equivalent to the compendial method. Bacterial endotoxin testing shall be applied to products, WFI and components as required, and a positive sterility-test result shall be invalidated only on the basis of a documented investigation establishing, to a high degree of assurance, that the result was attributable to laboratory error.</w:t>
      </w:r>
    </w:p>
    <w:p w14:paraId="303CB669" w14:textId="77777777" w:rsidR="00CD5946" w:rsidRDefault="00000000">
      <w:pPr>
        <w:bidi/>
        <w:spacing w:after="150" w:line="300" w:lineRule="auto"/>
        <w:ind w:right="300" w:hanging="300"/>
        <w:jc w:val="right"/>
      </w:pPr>
      <w:r>
        <w:rPr>
          <w:rFonts w:ascii="Arial" w:eastAsia="Arial" w:hAnsi="Arial"/>
          <w:color w:val="333333"/>
          <w:sz w:val="20"/>
          <w:szCs w:val="20"/>
          <w:rtl/>
        </w:rPr>
        <w:t>عند استخدام طرائق ميكروبية سريعة أو بديلة (للحمل الميكروبي أو المراقبة أو التعقيم) تُتحقّق للاستخدام المقصود وتُثبت مكافأتها للطريقة الدستورية على الأقل. ويُجرى اختبار الذيفان البكتيري للمنتجات و</w:t>
      </w:r>
      <w:r>
        <w:rPr>
          <w:rFonts w:ascii="Arial" w:eastAsia="Arial" w:hAnsi="Arial"/>
          <w:color w:val="333333"/>
          <w:sz w:val="20"/>
          <w:szCs w:val="20"/>
        </w:rPr>
        <w:t>WFI</w:t>
      </w:r>
      <w:r>
        <w:rPr>
          <w:rFonts w:ascii="Arial" w:eastAsia="Arial" w:hAnsi="Arial"/>
          <w:color w:val="333333"/>
          <w:sz w:val="20"/>
          <w:szCs w:val="20"/>
          <w:rtl/>
        </w:rPr>
        <w:t xml:space="preserve"> والمكوّنات، ولا تُبطَل نتيجة تعقيم موجبة إلّا بناءً على تحقيق موثّق يُثبت بدرجة عالية أنّها تعود إلى خطأ مخبري.</w:t>
      </w:r>
      <w:r>
        <w:rPr>
          <w:rFonts w:ascii="Arial" w:eastAsia="Arial" w:hAnsi="Arial"/>
          <w:b/>
          <w:bCs/>
          <w:color w:val="15512F"/>
          <w:sz w:val="20"/>
          <w:szCs w:val="20"/>
          <w:rtl/>
        </w:rPr>
        <w:t xml:space="preserve">  ⁦</w:t>
      </w:r>
      <w:r>
        <w:rPr>
          <w:rFonts w:ascii="Arial" w:eastAsia="Arial" w:hAnsi="Arial"/>
          <w:b/>
          <w:bCs/>
          <w:color w:val="15512F"/>
          <w:sz w:val="20"/>
          <w:szCs w:val="20"/>
        </w:rPr>
        <w:t>11.2</w:t>
      </w:r>
      <w:r>
        <w:rPr>
          <w:rFonts w:ascii="Arial" w:eastAsia="Arial" w:hAnsi="Arial"/>
          <w:b/>
          <w:bCs/>
          <w:color w:val="15512F"/>
          <w:sz w:val="20"/>
          <w:szCs w:val="20"/>
          <w:rtl/>
        </w:rPr>
        <w:t>⁩</w:t>
      </w:r>
    </w:p>
    <w:p w14:paraId="242EA287" w14:textId="77777777" w:rsidR="00CD5946" w:rsidRDefault="00000000">
      <w:pPr>
        <w:spacing w:after="40" w:line="266" w:lineRule="auto"/>
        <w:ind w:left="300" w:hanging="300"/>
      </w:pPr>
      <w:r>
        <w:rPr>
          <w:rFonts w:ascii="Arial" w:eastAsia="Arial" w:hAnsi="Arial"/>
          <w:b/>
          <w:bCs/>
          <w:color w:val="15512F"/>
        </w:rPr>
        <w:t xml:space="preserve">11.3  </w:t>
      </w:r>
      <w:r>
        <w:rPr>
          <w:rFonts w:ascii="Arial" w:eastAsia="Arial" w:hAnsi="Arial"/>
          <w:color w:val="1A1A1A"/>
        </w:rPr>
        <w:t>Bioburden of the product prior to the final sterilising filtration or prior to terminal sterilisation shall be determined on each batch against a defined limit (commonly ≤ 10 CFU/100 mL before final filtration), and the result used to confirm the validity of the sterilisation step. Container-closure integrity testing may be used to support, but does not replace, the assurance provided by a validated process and may form part of stability and release strategies as justified.</w:t>
      </w:r>
    </w:p>
    <w:p w14:paraId="2C1DDA5A" w14:textId="77777777" w:rsidR="00CD5946" w:rsidRDefault="00000000">
      <w:pPr>
        <w:bidi/>
        <w:spacing w:after="150" w:line="300" w:lineRule="auto"/>
        <w:ind w:right="300" w:hanging="300"/>
        <w:jc w:val="right"/>
      </w:pPr>
      <w:r>
        <w:rPr>
          <w:rFonts w:ascii="Arial" w:eastAsia="Arial" w:hAnsi="Arial"/>
          <w:color w:val="333333"/>
          <w:sz w:val="20"/>
          <w:szCs w:val="20"/>
          <w:rtl/>
        </w:rPr>
        <w:t>يُحدّد الحمل الميكروبي للمنتج قبل الترشيح التعقيمي النهائي أو قبل التعقيم النهائي لكل دفعة مقابل حدّ محدّد (عادةً ⁦</w:t>
      </w:r>
      <w:r>
        <w:rPr>
          <w:rFonts w:ascii="Arial" w:eastAsia="Arial" w:hAnsi="Arial"/>
          <w:color w:val="333333"/>
          <w:sz w:val="20"/>
          <w:szCs w:val="20"/>
        </w:rPr>
        <w:t>≤ 10 CFU/100 mL</w:t>
      </w:r>
      <w:r>
        <w:rPr>
          <w:rFonts w:ascii="Arial" w:eastAsia="Arial" w:hAnsi="Arial"/>
          <w:color w:val="333333"/>
          <w:sz w:val="20"/>
          <w:szCs w:val="20"/>
          <w:rtl/>
        </w:rPr>
        <w:t>⁩ قبل الترشيح النهائي)، وتُستخدم النتيجة لتأكيد صلاحية خطوة التعقيم. ويمكن أن يدعم اختبار سلامة العبوة-الإغلاق ضمان العملية المُتحقّقة دون أن يحلّ محلّها، وقد يكون جزءاً من استراتيجيات الثبات والإفراج حسب التبرير.</w:t>
      </w:r>
      <w:r>
        <w:rPr>
          <w:rFonts w:ascii="Arial" w:eastAsia="Arial" w:hAnsi="Arial"/>
          <w:b/>
          <w:bCs/>
          <w:color w:val="15512F"/>
          <w:sz w:val="20"/>
          <w:szCs w:val="20"/>
          <w:rtl/>
        </w:rPr>
        <w:t xml:space="preserve">  ⁦</w:t>
      </w:r>
      <w:r>
        <w:rPr>
          <w:rFonts w:ascii="Arial" w:eastAsia="Arial" w:hAnsi="Arial"/>
          <w:b/>
          <w:bCs/>
          <w:color w:val="15512F"/>
          <w:sz w:val="20"/>
          <w:szCs w:val="20"/>
        </w:rPr>
        <w:t>11.3</w:t>
      </w:r>
      <w:r>
        <w:rPr>
          <w:rFonts w:ascii="Arial" w:eastAsia="Arial" w:hAnsi="Arial"/>
          <w:b/>
          <w:bCs/>
          <w:color w:val="15512F"/>
          <w:sz w:val="20"/>
          <w:szCs w:val="20"/>
          <w:rtl/>
        </w:rPr>
        <w:t>⁩</w:t>
      </w:r>
    </w:p>
    <w:p w14:paraId="104E8936" w14:textId="77777777" w:rsidR="00CD5946" w:rsidRDefault="00000000">
      <w:pPr>
        <w:pStyle w:val="Heading2"/>
        <w:spacing w:before="220"/>
      </w:pPr>
      <w:bookmarkStart w:id="134" w:name="__RefHeading___Toc9425_1729075678"/>
      <w:bookmarkEnd w:id="134"/>
      <w:r>
        <w:t>12.  Glossary (Annex 1)</w:t>
      </w:r>
      <w:r>
        <w:rPr>
          <w:b w:val="0"/>
          <w:bCs w:val="0"/>
          <w:color w:val="1A1A1A"/>
          <w:sz w:val="21"/>
          <w:szCs w:val="21"/>
        </w:rPr>
        <w:t xml:space="preserve">   </w:t>
      </w:r>
      <w:r>
        <w:rPr>
          <w:color w:val="C8A24B"/>
          <w:sz w:val="20"/>
          <w:szCs w:val="20"/>
          <w:rtl/>
        </w:rPr>
        <w:t>مسرد الملحق</w:t>
      </w:r>
      <w:r>
        <w:rPr>
          <w:color w:val="C8A24B"/>
          <w:sz w:val="20"/>
          <w:szCs w:val="20"/>
        </w:rPr>
        <w:t xml:space="preserve"> ⁦1⁩</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600"/>
        <w:gridCol w:w="6760"/>
      </w:tblGrid>
      <w:tr w:rsidR="00CD5946" w14:paraId="14FAC01B" w14:textId="77777777">
        <w:trPr>
          <w:tblHeader/>
        </w:trPr>
        <w:tc>
          <w:tcPr>
            <w:tcW w:w="2600" w:type="dxa"/>
            <w:tcBorders>
              <w:top w:val="single" w:sz="2" w:space="0" w:color="BFC9C0"/>
              <w:left w:val="single" w:sz="2" w:space="0" w:color="BFC9C0"/>
              <w:bottom w:val="single" w:sz="2" w:space="0" w:color="BFC9C0"/>
              <w:right w:val="single" w:sz="2" w:space="0" w:color="BFC9C0"/>
            </w:tcBorders>
            <w:shd w:val="clear" w:color="auto" w:fill="0E5A50"/>
          </w:tcPr>
          <w:p w14:paraId="2FF2A047" w14:textId="77777777" w:rsidR="00CD5946" w:rsidRDefault="00000000">
            <w:pPr>
              <w:spacing w:after="0"/>
            </w:pPr>
            <w:r>
              <w:rPr>
                <w:rFonts w:ascii="Arial" w:eastAsia="Arial" w:hAnsi="Arial"/>
                <w:b/>
                <w:bCs/>
                <w:color w:val="FFFFFF"/>
                <w:sz w:val="18"/>
                <w:szCs w:val="18"/>
              </w:rPr>
              <w:lastRenderedPageBreak/>
              <w:t xml:space="preserve">Term / </w:t>
            </w:r>
            <w:r>
              <w:rPr>
                <w:rFonts w:ascii="Arial" w:eastAsia="Arial" w:hAnsi="Arial"/>
                <w:b/>
                <w:bCs/>
                <w:color w:val="FFFFFF"/>
                <w:sz w:val="18"/>
                <w:szCs w:val="18"/>
                <w:rtl/>
              </w:rPr>
              <w:t>المصطلح</w:t>
            </w:r>
          </w:p>
        </w:tc>
        <w:tc>
          <w:tcPr>
            <w:tcW w:w="6760" w:type="dxa"/>
            <w:tcBorders>
              <w:top w:val="single" w:sz="2" w:space="0" w:color="BFC9C0"/>
              <w:left w:val="single" w:sz="2" w:space="0" w:color="BFC9C0"/>
              <w:bottom w:val="single" w:sz="2" w:space="0" w:color="BFC9C0"/>
              <w:right w:val="single" w:sz="2" w:space="0" w:color="BFC9C0"/>
            </w:tcBorders>
            <w:shd w:val="clear" w:color="auto" w:fill="0E5A50"/>
          </w:tcPr>
          <w:p w14:paraId="09FB9E76" w14:textId="77777777" w:rsidR="00CD5946" w:rsidRDefault="00000000">
            <w:pPr>
              <w:spacing w:after="0"/>
            </w:pPr>
            <w:r>
              <w:rPr>
                <w:rFonts w:ascii="Arial" w:eastAsia="Arial" w:hAnsi="Arial"/>
                <w:b/>
                <w:bCs/>
                <w:color w:val="FFFFFF"/>
                <w:sz w:val="18"/>
                <w:szCs w:val="18"/>
              </w:rPr>
              <w:t xml:space="preserve">Definition / </w:t>
            </w:r>
            <w:r>
              <w:rPr>
                <w:rFonts w:ascii="Arial" w:eastAsia="Arial" w:hAnsi="Arial"/>
                <w:b/>
                <w:bCs/>
                <w:color w:val="FFFFFF"/>
                <w:sz w:val="18"/>
                <w:szCs w:val="18"/>
                <w:rtl/>
              </w:rPr>
              <w:t>التعريف</w:t>
            </w:r>
          </w:p>
        </w:tc>
      </w:tr>
      <w:tr w:rsidR="00CD5946" w14:paraId="01556F18"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72A877DD" w14:textId="77777777" w:rsidR="00CD5946" w:rsidRDefault="00000000">
            <w:pPr>
              <w:spacing w:after="0"/>
            </w:pPr>
            <w:r>
              <w:rPr>
                <w:rFonts w:ascii="Arial" w:eastAsia="Arial" w:hAnsi="Arial"/>
                <w:b/>
                <w:bCs/>
                <w:color w:val="15512F"/>
                <w:sz w:val="18"/>
                <w:szCs w:val="18"/>
              </w:rPr>
              <w:t>Aseptic process</w:t>
            </w:r>
          </w:p>
        </w:tc>
        <w:tc>
          <w:tcPr>
            <w:tcW w:w="6760" w:type="dxa"/>
            <w:tcBorders>
              <w:top w:val="single" w:sz="2" w:space="0" w:color="BFC9C0"/>
              <w:left w:val="single" w:sz="2" w:space="0" w:color="BFC9C0"/>
              <w:bottom w:val="single" w:sz="2" w:space="0" w:color="BFC9C0"/>
              <w:right w:val="single" w:sz="2" w:space="0" w:color="BFC9C0"/>
            </w:tcBorders>
            <w:shd w:val="clear" w:color="auto" w:fill="FFFFFF"/>
          </w:tcPr>
          <w:p w14:paraId="440B51FF" w14:textId="77777777" w:rsidR="00CD5946" w:rsidRDefault="00000000">
            <w:pPr>
              <w:spacing w:after="0"/>
            </w:pPr>
            <w:r>
              <w:rPr>
                <w:rFonts w:ascii="Arial" w:eastAsia="Arial" w:hAnsi="Arial"/>
                <w:color w:val="1A1A1A"/>
                <w:sz w:val="18"/>
                <w:szCs w:val="18"/>
              </w:rPr>
              <w:t xml:space="preserve">Handling of sterilised product, containers and/or devices in a controlled environment in which the air supply, materials, equipment and personnel are regulated to maintain sterility. / </w:t>
            </w:r>
            <w:r>
              <w:rPr>
                <w:rFonts w:ascii="Arial" w:eastAsia="Arial" w:hAnsi="Arial"/>
                <w:color w:val="1A1A1A"/>
                <w:sz w:val="18"/>
                <w:szCs w:val="18"/>
                <w:rtl/>
              </w:rPr>
              <w:t>معالجة المنتج والعبوات المعقّمة في بيئة مضبوطة تحفظ التعقيم</w:t>
            </w:r>
            <w:r>
              <w:rPr>
                <w:rFonts w:ascii="Arial" w:eastAsia="Arial" w:hAnsi="Arial"/>
                <w:color w:val="1A1A1A"/>
                <w:sz w:val="18"/>
                <w:szCs w:val="18"/>
              </w:rPr>
              <w:t>.</w:t>
            </w:r>
          </w:p>
        </w:tc>
      </w:tr>
      <w:tr w:rsidR="00CD5946" w14:paraId="5131E384" w14:textId="77777777">
        <w:tc>
          <w:tcPr>
            <w:tcW w:w="2600" w:type="dxa"/>
            <w:tcBorders>
              <w:top w:val="single" w:sz="2" w:space="0" w:color="BFC9C0"/>
              <w:left w:val="single" w:sz="2" w:space="0" w:color="BFC9C0"/>
              <w:bottom w:val="single" w:sz="2" w:space="0" w:color="BFC9C0"/>
              <w:right w:val="single" w:sz="2" w:space="0" w:color="BFC9C0"/>
            </w:tcBorders>
            <w:shd w:val="clear" w:color="auto" w:fill="EEF3F1"/>
          </w:tcPr>
          <w:p w14:paraId="45939BD3" w14:textId="77777777" w:rsidR="00CD5946" w:rsidRDefault="00000000">
            <w:pPr>
              <w:spacing w:after="0"/>
            </w:pPr>
            <w:r>
              <w:rPr>
                <w:rFonts w:ascii="Arial" w:eastAsia="Arial" w:hAnsi="Arial"/>
                <w:b/>
                <w:bCs/>
                <w:color w:val="15512F"/>
                <w:sz w:val="18"/>
                <w:szCs w:val="18"/>
              </w:rPr>
              <w:t>CCS</w:t>
            </w:r>
          </w:p>
        </w:tc>
        <w:tc>
          <w:tcPr>
            <w:tcW w:w="6760" w:type="dxa"/>
            <w:tcBorders>
              <w:top w:val="single" w:sz="2" w:space="0" w:color="BFC9C0"/>
              <w:left w:val="single" w:sz="2" w:space="0" w:color="BFC9C0"/>
              <w:bottom w:val="single" w:sz="2" w:space="0" w:color="BFC9C0"/>
              <w:right w:val="single" w:sz="2" w:space="0" w:color="BFC9C0"/>
            </w:tcBorders>
            <w:shd w:val="clear" w:color="auto" w:fill="EEF3F1"/>
          </w:tcPr>
          <w:p w14:paraId="4ACDB8A8" w14:textId="77777777" w:rsidR="00CD5946" w:rsidRDefault="00000000">
            <w:pPr>
              <w:spacing w:after="0"/>
            </w:pPr>
            <w:r>
              <w:rPr>
                <w:rFonts w:ascii="Arial" w:eastAsia="Arial" w:hAnsi="Arial"/>
                <w:color w:val="1A1A1A"/>
                <w:sz w:val="18"/>
                <w:szCs w:val="18"/>
              </w:rPr>
              <w:t xml:space="preserve">Contamination Control Strategy: a planned set of controls for microorganisms, endotoxin/pyrogen and particulate, derived from product and process understanding. / </w:t>
            </w:r>
            <w:r>
              <w:rPr>
                <w:rFonts w:ascii="Arial" w:eastAsia="Arial" w:hAnsi="Arial"/>
                <w:color w:val="1A1A1A"/>
                <w:sz w:val="18"/>
                <w:szCs w:val="18"/>
                <w:rtl/>
              </w:rPr>
              <w:t>استراتيجية ضبط التلوث المستمدّة من فهم المنتج والعملية</w:t>
            </w:r>
            <w:r>
              <w:rPr>
                <w:rFonts w:ascii="Arial" w:eastAsia="Arial" w:hAnsi="Arial"/>
                <w:color w:val="1A1A1A"/>
                <w:sz w:val="18"/>
                <w:szCs w:val="18"/>
              </w:rPr>
              <w:t>.</w:t>
            </w:r>
          </w:p>
        </w:tc>
      </w:tr>
      <w:tr w:rsidR="00CD5946" w14:paraId="548D3A87"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01F21AAB" w14:textId="77777777" w:rsidR="00CD5946" w:rsidRDefault="00000000">
            <w:pPr>
              <w:spacing w:after="0"/>
            </w:pPr>
            <w:r>
              <w:rPr>
                <w:rFonts w:ascii="Arial" w:eastAsia="Arial" w:hAnsi="Arial"/>
                <w:b/>
                <w:bCs/>
                <w:color w:val="15512F"/>
                <w:sz w:val="18"/>
                <w:szCs w:val="18"/>
              </w:rPr>
              <w:t>F0</w:t>
            </w:r>
          </w:p>
        </w:tc>
        <w:tc>
          <w:tcPr>
            <w:tcW w:w="6760" w:type="dxa"/>
            <w:tcBorders>
              <w:top w:val="single" w:sz="2" w:space="0" w:color="BFC9C0"/>
              <w:left w:val="single" w:sz="2" w:space="0" w:color="BFC9C0"/>
              <w:bottom w:val="single" w:sz="2" w:space="0" w:color="BFC9C0"/>
              <w:right w:val="single" w:sz="2" w:space="0" w:color="BFC9C0"/>
            </w:tcBorders>
            <w:shd w:val="clear" w:color="auto" w:fill="FFFFFF"/>
          </w:tcPr>
          <w:p w14:paraId="3FF5D22F" w14:textId="77777777" w:rsidR="00CD5946" w:rsidRDefault="00000000">
            <w:pPr>
              <w:spacing w:after="0"/>
            </w:pPr>
            <w:r>
              <w:rPr>
                <w:rFonts w:ascii="Arial" w:eastAsia="Arial" w:hAnsi="Arial"/>
                <w:color w:val="1A1A1A"/>
                <w:sz w:val="18"/>
                <w:szCs w:val="18"/>
              </w:rPr>
              <w:t xml:space="preserve">The equivalent time in minutes at 121°C delivered to a load, referenced to a micro-organism with a z-value of 10°C, used to express moist-heat lethality. / </w:t>
            </w:r>
            <w:r>
              <w:rPr>
                <w:rFonts w:ascii="Arial" w:eastAsia="Arial" w:hAnsi="Arial"/>
                <w:color w:val="1A1A1A"/>
                <w:sz w:val="18"/>
                <w:szCs w:val="18"/>
                <w:rtl/>
              </w:rPr>
              <w:t xml:space="preserve">الزمن المكافئ بالدقائق عند </w:t>
            </w:r>
            <w:r>
              <w:rPr>
                <w:rFonts w:ascii="Arial" w:eastAsia="Arial" w:hAnsi="Arial"/>
                <w:color w:val="1A1A1A"/>
                <w:sz w:val="18"/>
                <w:szCs w:val="18"/>
              </w:rPr>
              <w:t>121</w:t>
            </w:r>
            <w:r>
              <w:rPr>
                <w:rFonts w:ascii="Arial" w:eastAsia="Arial" w:hAnsi="Arial"/>
                <w:color w:val="1A1A1A"/>
                <w:sz w:val="18"/>
                <w:szCs w:val="18"/>
                <w:rtl/>
              </w:rPr>
              <w:t>°م للتعبير عن الإبادة بالحرارة الرطبة</w:t>
            </w:r>
            <w:r>
              <w:rPr>
                <w:rFonts w:ascii="Arial" w:eastAsia="Arial" w:hAnsi="Arial"/>
                <w:color w:val="1A1A1A"/>
                <w:sz w:val="18"/>
                <w:szCs w:val="18"/>
              </w:rPr>
              <w:t>.</w:t>
            </w:r>
          </w:p>
        </w:tc>
      </w:tr>
      <w:tr w:rsidR="00CD5946" w14:paraId="2A198209" w14:textId="77777777">
        <w:tc>
          <w:tcPr>
            <w:tcW w:w="2600" w:type="dxa"/>
            <w:tcBorders>
              <w:top w:val="single" w:sz="2" w:space="0" w:color="BFC9C0"/>
              <w:left w:val="single" w:sz="2" w:space="0" w:color="BFC9C0"/>
              <w:bottom w:val="single" w:sz="2" w:space="0" w:color="BFC9C0"/>
              <w:right w:val="single" w:sz="2" w:space="0" w:color="BFC9C0"/>
            </w:tcBorders>
            <w:shd w:val="clear" w:color="auto" w:fill="EEF3F1"/>
          </w:tcPr>
          <w:p w14:paraId="490B3BA3" w14:textId="77777777" w:rsidR="00CD5946" w:rsidRDefault="00000000">
            <w:pPr>
              <w:spacing w:after="0"/>
            </w:pPr>
            <w:r>
              <w:rPr>
                <w:rFonts w:ascii="Arial" w:eastAsia="Arial" w:hAnsi="Arial"/>
                <w:b/>
                <w:bCs/>
                <w:color w:val="15512F"/>
                <w:sz w:val="18"/>
                <w:szCs w:val="18"/>
              </w:rPr>
              <w:t>PUPSIT</w:t>
            </w:r>
          </w:p>
        </w:tc>
        <w:tc>
          <w:tcPr>
            <w:tcW w:w="6760" w:type="dxa"/>
            <w:tcBorders>
              <w:top w:val="single" w:sz="2" w:space="0" w:color="BFC9C0"/>
              <w:left w:val="single" w:sz="2" w:space="0" w:color="BFC9C0"/>
              <w:bottom w:val="single" w:sz="2" w:space="0" w:color="BFC9C0"/>
              <w:right w:val="single" w:sz="2" w:space="0" w:color="BFC9C0"/>
            </w:tcBorders>
            <w:shd w:val="clear" w:color="auto" w:fill="EEF3F1"/>
          </w:tcPr>
          <w:p w14:paraId="4EFBB9F3" w14:textId="77777777" w:rsidR="00CD5946" w:rsidRDefault="00000000">
            <w:pPr>
              <w:spacing w:after="0"/>
            </w:pPr>
            <w:r>
              <w:rPr>
                <w:rFonts w:ascii="Arial" w:eastAsia="Arial" w:hAnsi="Arial"/>
                <w:color w:val="1A1A1A"/>
                <w:sz w:val="18"/>
                <w:szCs w:val="18"/>
              </w:rPr>
              <w:t xml:space="preserve">Pre-Use Post-Sterilisation Integrity Test of a sterilising-grade filter, performed before use after the filter has been sterilised. / </w:t>
            </w:r>
            <w:r>
              <w:rPr>
                <w:rFonts w:ascii="Arial" w:eastAsia="Arial" w:hAnsi="Arial"/>
                <w:color w:val="1A1A1A"/>
                <w:sz w:val="18"/>
                <w:szCs w:val="18"/>
                <w:rtl/>
              </w:rPr>
              <w:t>اختبار سلامة المرشّح قبل الاستخدام بعد تعقيمه</w:t>
            </w:r>
            <w:r>
              <w:rPr>
                <w:rFonts w:ascii="Arial" w:eastAsia="Arial" w:hAnsi="Arial"/>
                <w:color w:val="1A1A1A"/>
                <w:sz w:val="18"/>
                <w:szCs w:val="18"/>
              </w:rPr>
              <w:t>.</w:t>
            </w:r>
          </w:p>
        </w:tc>
      </w:tr>
      <w:tr w:rsidR="00CD5946" w14:paraId="537F5150"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2F9E562F" w14:textId="77777777" w:rsidR="00CD5946" w:rsidRDefault="00000000">
            <w:pPr>
              <w:spacing w:after="0"/>
            </w:pPr>
            <w:r>
              <w:rPr>
                <w:rFonts w:ascii="Arial" w:eastAsia="Arial" w:hAnsi="Arial"/>
                <w:b/>
                <w:bCs/>
                <w:color w:val="15512F"/>
                <w:sz w:val="18"/>
                <w:szCs w:val="18"/>
              </w:rPr>
              <w:t>RABS</w:t>
            </w:r>
          </w:p>
        </w:tc>
        <w:tc>
          <w:tcPr>
            <w:tcW w:w="6760" w:type="dxa"/>
            <w:tcBorders>
              <w:top w:val="single" w:sz="2" w:space="0" w:color="BFC9C0"/>
              <w:left w:val="single" w:sz="2" w:space="0" w:color="BFC9C0"/>
              <w:bottom w:val="single" w:sz="2" w:space="0" w:color="BFC9C0"/>
              <w:right w:val="single" w:sz="2" w:space="0" w:color="BFC9C0"/>
            </w:tcBorders>
            <w:shd w:val="clear" w:color="auto" w:fill="FFFFFF"/>
          </w:tcPr>
          <w:p w14:paraId="685D046A" w14:textId="77777777" w:rsidR="00CD5946" w:rsidRDefault="00000000">
            <w:pPr>
              <w:spacing w:after="0"/>
            </w:pPr>
            <w:r>
              <w:rPr>
                <w:rFonts w:ascii="Arial" w:eastAsia="Arial" w:hAnsi="Arial"/>
                <w:color w:val="1A1A1A"/>
                <w:sz w:val="18"/>
                <w:szCs w:val="18"/>
              </w:rPr>
              <w:t xml:space="preserve">Restricted Access Barrier System: an enclosure providing a physical and aerodynamic barrier between operators and the critical zone. / </w:t>
            </w:r>
            <w:r>
              <w:rPr>
                <w:rFonts w:ascii="Arial" w:eastAsia="Arial" w:hAnsi="Arial"/>
                <w:color w:val="1A1A1A"/>
                <w:sz w:val="18"/>
                <w:szCs w:val="18"/>
                <w:rtl/>
              </w:rPr>
              <w:t>نظام حاجز مقيّد الوصول يوفّر حاجزاً فيزيائيّاً بين المشغّل والمنطقة الحرجة</w:t>
            </w:r>
            <w:r>
              <w:rPr>
                <w:rFonts w:ascii="Arial" w:eastAsia="Arial" w:hAnsi="Arial"/>
                <w:color w:val="1A1A1A"/>
                <w:sz w:val="18"/>
                <w:szCs w:val="18"/>
              </w:rPr>
              <w:t>.</w:t>
            </w:r>
          </w:p>
        </w:tc>
      </w:tr>
      <w:tr w:rsidR="00CD5946" w14:paraId="05F38E8F" w14:textId="77777777">
        <w:tc>
          <w:tcPr>
            <w:tcW w:w="2600" w:type="dxa"/>
            <w:tcBorders>
              <w:top w:val="single" w:sz="2" w:space="0" w:color="BFC9C0"/>
              <w:left w:val="single" w:sz="2" w:space="0" w:color="BFC9C0"/>
              <w:bottom w:val="single" w:sz="2" w:space="0" w:color="BFC9C0"/>
              <w:right w:val="single" w:sz="2" w:space="0" w:color="BFC9C0"/>
            </w:tcBorders>
            <w:shd w:val="clear" w:color="auto" w:fill="EEF3F1"/>
          </w:tcPr>
          <w:p w14:paraId="565F5F19" w14:textId="77777777" w:rsidR="00CD5946" w:rsidRDefault="00000000">
            <w:pPr>
              <w:spacing w:after="0"/>
            </w:pPr>
            <w:r>
              <w:rPr>
                <w:rFonts w:ascii="Arial" w:eastAsia="Arial" w:hAnsi="Arial"/>
                <w:b/>
                <w:bCs/>
                <w:color w:val="15512F"/>
                <w:sz w:val="18"/>
                <w:szCs w:val="18"/>
              </w:rPr>
              <w:t>SAL</w:t>
            </w:r>
          </w:p>
        </w:tc>
        <w:tc>
          <w:tcPr>
            <w:tcW w:w="6760" w:type="dxa"/>
            <w:tcBorders>
              <w:top w:val="single" w:sz="2" w:space="0" w:color="BFC9C0"/>
              <w:left w:val="single" w:sz="2" w:space="0" w:color="BFC9C0"/>
              <w:bottom w:val="single" w:sz="2" w:space="0" w:color="BFC9C0"/>
              <w:right w:val="single" w:sz="2" w:space="0" w:color="BFC9C0"/>
            </w:tcBorders>
            <w:shd w:val="clear" w:color="auto" w:fill="EEF3F1"/>
          </w:tcPr>
          <w:p w14:paraId="23D037A6" w14:textId="77777777" w:rsidR="00CD5946" w:rsidRDefault="00000000">
            <w:pPr>
              <w:spacing w:after="0"/>
            </w:pPr>
            <w:r>
              <w:rPr>
                <w:rFonts w:ascii="Arial" w:eastAsia="Arial" w:hAnsi="Arial"/>
                <w:color w:val="1A1A1A"/>
                <w:sz w:val="18"/>
                <w:szCs w:val="18"/>
              </w:rPr>
              <w:t xml:space="preserve">Sterility Assurance Level: the probability of a single viable micro-organism on an item after sterilisation; for terminal sterilisation ≤ 10⁻⁶. / </w:t>
            </w:r>
            <w:r>
              <w:rPr>
                <w:rFonts w:ascii="Arial" w:eastAsia="Arial" w:hAnsi="Arial"/>
                <w:color w:val="1A1A1A"/>
                <w:sz w:val="18"/>
                <w:szCs w:val="18"/>
                <w:rtl/>
              </w:rPr>
              <w:t xml:space="preserve">احتمال وجود كائن حيّ واحد بعد التعقيم؛ ≤ </w:t>
            </w:r>
            <w:r>
              <w:rPr>
                <w:rFonts w:ascii="Arial" w:eastAsia="Arial" w:hAnsi="Arial"/>
                <w:color w:val="1A1A1A"/>
                <w:sz w:val="18"/>
                <w:szCs w:val="18"/>
              </w:rPr>
              <w:t>10</w:t>
            </w:r>
            <w:r>
              <w:rPr>
                <w:rFonts w:ascii="Arial" w:eastAsia="Arial" w:hAnsi="Arial"/>
                <w:color w:val="1A1A1A"/>
                <w:sz w:val="18"/>
                <w:szCs w:val="18"/>
                <w:rtl/>
              </w:rPr>
              <w:t>⁻</w:t>
            </w:r>
            <w:r>
              <w:rPr>
                <w:rFonts w:ascii="Arial" w:eastAsia="Arial" w:hAnsi="Arial"/>
                <w:color w:val="1A1A1A"/>
                <w:sz w:val="18"/>
                <w:szCs w:val="18"/>
              </w:rPr>
              <w:t>⁶</w:t>
            </w:r>
            <w:r>
              <w:rPr>
                <w:rFonts w:ascii="Arial" w:eastAsia="Arial" w:hAnsi="Arial"/>
                <w:color w:val="1A1A1A"/>
                <w:sz w:val="18"/>
                <w:szCs w:val="18"/>
                <w:rtl/>
              </w:rPr>
              <w:t xml:space="preserve"> للتعقيم النهائي</w:t>
            </w:r>
            <w:r>
              <w:rPr>
                <w:rFonts w:ascii="Arial" w:eastAsia="Arial" w:hAnsi="Arial"/>
                <w:color w:val="1A1A1A"/>
                <w:sz w:val="18"/>
                <w:szCs w:val="18"/>
              </w:rPr>
              <w:t>.</w:t>
            </w:r>
          </w:p>
        </w:tc>
      </w:tr>
    </w:tbl>
    <w:p w14:paraId="6BB0C0B7" w14:textId="77777777" w:rsidR="00CD5946" w:rsidRDefault="00000000">
      <w:pPr>
        <w:spacing w:before="260" w:after="0"/>
        <w:jc w:val="center"/>
      </w:pPr>
      <w:r>
        <w:rPr>
          <w:noProof/>
        </w:rPr>
        <w:drawing>
          <wp:inline distT="0" distB="0" distL="0" distR="0" wp14:anchorId="0CACA93A" wp14:editId="56E4DCE0">
            <wp:extent cx="876300" cy="1238250"/>
            <wp:effectExtent l="0" t="0" r="0" b="0"/>
            <wp:docPr id="5" name="Image4"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76DE123B" w14:textId="77777777" w:rsidR="00CD5946" w:rsidRDefault="00000000">
      <w:pPr>
        <w:spacing w:before="50" w:after="0"/>
        <w:jc w:val="center"/>
      </w:pPr>
      <w:r>
        <w:rPr>
          <w:rFonts w:ascii="Arial" w:eastAsia="Arial" w:hAnsi="Arial"/>
          <w:b/>
          <w:bCs/>
          <w:color w:val="15512F"/>
          <w:sz w:val="19"/>
          <w:szCs w:val="19"/>
        </w:rPr>
        <w:t>AUPAM EXPERTS' OFFICE</w:t>
      </w:r>
    </w:p>
    <w:p w14:paraId="406E550C"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63C191B0" w14:textId="77777777" w:rsidR="00CD5946" w:rsidRDefault="00000000">
      <w:pPr>
        <w:spacing w:before="10" w:after="0"/>
        <w:jc w:val="center"/>
      </w:pPr>
      <w:r>
        <w:rPr>
          <w:rFonts w:ascii="Arial" w:eastAsia="Arial" w:hAnsi="Arial"/>
          <w:b/>
          <w:bCs/>
          <w:color w:val="B08C37"/>
          <w:sz w:val="24"/>
          <w:szCs w:val="24"/>
        </w:rPr>
        <w:t>2026 EDITION</w:t>
      </w:r>
    </w:p>
    <w:p w14:paraId="13FEEF19" w14:textId="77777777" w:rsidR="00CD5946" w:rsidRDefault="00000000">
      <w:pPr>
        <w:spacing w:before="260" w:after="0"/>
        <w:jc w:val="center"/>
      </w:pPr>
      <w:r>
        <w:rPr>
          <w:rFonts w:ascii="Arial" w:eastAsia="Arial" w:hAnsi="Arial"/>
          <w:b/>
          <w:bCs/>
          <w:color w:val="15512F"/>
          <w:sz w:val="54"/>
          <w:szCs w:val="54"/>
        </w:rPr>
        <w:t>ANNEX 2B</w:t>
      </w:r>
    </w:p>
    <w:p w14:paraId="3627439C" w14:textId="77777777" w:rsidR="00CD5946" w:rsidRDefault="00000000">
      <w:pPr>
        <w:spacing w:before="40" w:after="0"/>
        <w:jc w:val="center"/>
      </w:pPr>
      <w:r>
        <w:rPr>
          <w:rFonts w:ascii="Arial" w:eastAsia="Arial" w:hAnsi="Arial"/>
          <w:b/>
          <w:bCs/>
          <w:color w:val="1A1A1A"/>
          <w:sz w:val="28"/>
          <w:szCs w:val="28"/>
        </w:rPr>
        <w:t>Manufacture of Biological Active Substances and Medicinal Products</w:t>
      </w:r>
    </w:p>
    <w:p w14:paraId="1B5993FC" w14:textId="77777777" w:rsidR="00CD5946" w:rsidRDefault="00000000">
      <w:pPr>
        <w:spacing w:before="16" w:after="0"/>
        <w:jc w:val="center"/>
      </w:pPr>
      <w:r>
        <w:rPr>
          <w:rFonts w:ascii="Arial" w:eastAsia="Arial" w:hAnsi="Arial"/>
          <w:color w:val="5A5A5A"/>
          <w:sz w:val="22"/>
          <w:szCs w:val="22"/>
        </w:rPr>
        <w:t>Part A (general) · Part B (specific) · EN | AR</w:t>
      </w:r>
    </w:p>
    <w:p w14:paraId="568EFBFE" w14:textId="77777777" w:rsidR="00CD5946" w:rsidRDefault="00000000">
      <w:pPr>
        <w:spacing w:before="26" w:after="0"/>
        <w:jc w:val="center"/>
      </w:pPr>
      <w:r>
        <w:rPr>
          <w:rFonts w:ascii="Arial" w:eastAsia="Arial" w:hAnsi="Arial"/>
          <w:b/>
          <w:bCs/>
          <w:color w:val="15512F"/>
          <w:sz w:val="22"/>
          <w:szCs w:val="22"/>
          <w:rtl/>
        </w:rPr>
        <w:t>الملحق ⁦</w:t>
      </w:r>
      <w:r>
        <w:rPr>
          <w:rFonts w:ascii="Arial" w:eastAsia="Arial" w:hAnsi="Arial"/>
          <w:b/>
          <w:bCs/>
          <w:color w:val="15512F"/>
          <w:sz w:val="22"/>
          <w:szCs w:val="22"/>
        </w:rPr>
        <w:t>2</w:t>
      </w:r>
      <w:r>
        <w:rPr>
          <w:rFonts w:ascii="Arial" w:eastAsia="Arial" w:hAnsi="Arial"/>
          <w:b/>
          <w:bCs/>
          <w:color w:val="15512F"/>
          <w:sz w:val="22"/>
          <w:szCs w:val="22"/>
          <w:rtl/>
        </w:rPr>
        <w:t>⁩أ — المنتجات البيولوجية</w:t>
      </w:r>
    </w:p>
    <w:p w14:paraId="46662A1F"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586AC1D9" w14:textId="77777777" w:rsidR="00CD5946" w:rsidRDefault="00000000">
      <w:r>
        <w:br w:type="page"/>
      </w:r>
    </w:p>
    <w:p w14:paraId="129B92D4" w14:textId="77777777" w:rsidR="00CD5946" w:rsidRDefault="00000000">
      <w:pPr>
        <w:pStyle w:val="Heading1"/>
        <w:spacing w:before="0"/>
      </w:pPr>
      <w:bookmarkStart w:id="135" w:name="__RefHeading___Toc9427_1729075678"/>
      <w:bookmarkEnd w:id="135"/>
      <w:r>
        <w:lastRenderedPageBreak/>
        <w:t>Contents</w:t>
      </w:r>
    </w:p>
    <w:sdt>
      <w:sdtPr>
        <w:id w:val="744844066"/>
        <w:docPartObj>
          <w:docPartGallery w:val="Table of Contents"/>
          <w:docPartUnique/>
        </w:docPartObj>
      </w:sdtPr>
      <w:sdtContent>
        <w:p w14:paraId="755C7F31"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78887322"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25B5D4C4"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4BB02EF5"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410638FB"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26C4D611"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68551EB1"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2487684F"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79B969C6"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591BD148"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1B3896D8"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64FF8E38"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3AFFEB90"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06FCB866"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283AE6AA"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76AFD7C7"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52F5ED32"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3F997367"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7CED00E5"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2B484029"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0DD23F30"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55CEC331"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782315D3"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7509367C"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7D7C368B"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21456A4F"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7F0C1D41"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0ECB4E89"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2890A46E"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5000CE73"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49FCFE59"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09B67DBE"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39029A98"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33F19861"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566F8EF0"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10CB74E4"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6850114A"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62B42224"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338EAC40"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0372DFAE"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68FBD42D"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2007A482"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603EC0C1"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6275886C"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51FF8F0B"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541F83D8"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5811D00E"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3E679A14"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278EC7CF"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2B94222C"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6CEFC0E2"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44C78235"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34DAF882"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4F7C511E"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6F40C715"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23227302"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7BA2C94C"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2F1163F1"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4933EDCA"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68364508"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05033E45"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687881EE"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721D6F62"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6E470054"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34E48EED"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3F4BF00A"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5F449695"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6551C1FF"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0C8C34BF"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79D04672"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462B730F"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0BE9D2CE"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2448DFD6"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1ABFD4A9" w14:textId="77777777" w:rsidR="00CD5946" w:rsidRDefault="00CD5946"/>
    <w:p w14:paraId="4C4E088C" w14:textId="77777777" w:rsidR="00CD5946" w:rsidRDefault="00000000">
      <w:pPr>
        <w:pStyle w:val="Heading1"/>
      </w:pPr>
      <w:bookmarkStart w:id="136" w:name="__RefHeading___Toc9429_1729075678"/>
      <w:bookmarkEnd w:id="136"/>
      <w:r>
        <w:t xml:space="preserve">Annex 2B — Manufacture of Biological Active Substances and Medicinal Products  ·  </w:t>
      </w:r>
      <w:r>
        <w:rPr>
          <w:rtl/>
        </w:rPr>
        <w:t xml:space="preserve">الملحق </w:t>
      </w:r>
      <w:r>
        <w:t>2</w:t>
      </w:r>
      <w:r>
        <w:rPr>
          <w:rtl/>
        </w:rPr>
        <w:t>ب — تصنيع المواد الفعّالة والمنتجات الدوائية البيولوجية</w:t>
      </w:r>
    </w:p>
    <w:p w14:paraId="68AAC2B1" w14:textId="77777777" w:rsidR="00CD5946" w:rsidRDefault="00000000">
      <w:pPr>
        <w:spacing w:before="10" w:after="150"/>
      </w:pPr>
      <w:r>
        <w:rPr>
          <w:rFonts w:ascii="Arial" w:eastAsia="Arial" w:hAnsi="Arial"/>
          <w:b/>
          <w:bCs/>
          <w:color w:val="C8A24B"/>
          <w:sz w:val="17"/>
          <w:szCs w:val="17"/>
        </w:rPr>
        <w:t xml:space="preserve">Harmonised with: </w:t>
      </w:r>
      <w:r>
        <w:rPr>
          <w:rFonts w:ascii="Arial" w:eastAsia="Arial" w:hAnsi="Arial"/>
          <w:i/>
          <w:iCs/>
          <w:color w:val="5A5A5A"/>
          <w:sz w:val="17"/>
          <w:szCs w:val="17"/>
        </w:rPr>
        <w:t>EU GMP Annex 2 (2018) · SFDA GMP Guide v4.4 · PIC/S PE 009-17 Annex 2B · ICH Q5A(R2) (viral safety), Q5B–Q5E, Q6B, Q11 · WHO TRS 999 Annex 2 / TRS 822 · Ph.Eur.</w:t>
      </w:r>
    </w:p>
    <w:p w14:paraId="79FBE65A" w14:textId="77777777" w:rsidR="00CD5946" w:rsidRDefault="00000000">
      <w:pPr>
        <w:pBdr>
          <w:left w:val="single" w:sz="16" w:space="8" w:color="C8A24B"/>
        </w:pBdr>
        <w:spacing w:after="40"/>
        <w:ind w:left="160"/>
      </w:pPr>
      <w:r>
        <w:rPr>
          <w:rFonts w:ascii="Arial" w:eastAsia="Arial" w:hAnsi="Arial"/>
          <w:b/>
          <w:bCs/>
          <w:color w:val="C8A24B"/>
        </w:rPr>
        <w:t xml:space="preserve">Principle.  </w:t>
      </w:r>
      <w:r>
        <w:rPr>
          <w:rFonts w:ascii="Arial" w:eastAsia="Arial" w:hAnsi="Arial"/>
          <w:color w:val="1A1A1A"/>
        </w:rPr>
        <w:t>The manufacture of biological active substances and medicinal products involves biological processes and materials — such as cultivation of cells or extraction from living organisms — that exhibit inherent variability, so that the range and nature of by-products are variable. The materials and conditions used in cultivation processes are designed to provide conditions for the growth of specific cells and micro-organisms, which also creates the potential for growth of extraneous contaminants. In addition, many products are limited in their ability to be tested by analytical means and so quality assurance is particularly dependent on the control of the process and on a contamination-control strategy. Most biological products are therefore controlled and assured through a combination of in-process controls and a validated, well-understood manufacturing process operated under GMP.</w:t>
      </w:r>
    </w:p>
    <w:p w14:paraId="4FC0F3AB" w14:textId="77777777" w:rsidR="00CD5946" w:rsidRDefault="00000000">
      <w:pPr>
        <w:bidi/>
        <w:spacing w:after="150"/>
        <w:ind w:right="160"/>
        <w:jc w:val="right"/>
      </w:pPr>
      <w:r>
        <w:rPr>
          <w:rFonts w:ascii="Arial" w:eastAsia="Arial" w:hAnsi="Arial"/>
          <w:b/>
          <w:bCs/>
          <w:color w:val="C8A24B"/>
          <w:sz w:val="20"/>
          <w:szCs w:val="20"/>
          <w:rtl/>
        </w:rPr>
        <w:t xml:space="preserve">المبدأ. </w:t>
      </w:r>
      <w:r>
        <w:rPr>
          <w:rFonts w:ascii="Arial" w:eastAsia="Arial" w:hAnsi="Arial"/>
          <w:color w:val="333333"/>
          <w:sz w:val="20"/>
          <w:szCs w:val="20"/>
          <w:rtl/>
        </w:rPr>
        <w:t xml:space="preserve">ينطوي تصنيع المواد والمنتجات البيولوجية على عمليات ومواد بيولوجية — كزراعة الخلايا أو الاستخلاص من كائنات حيّة — تتسم بتباين متأصّل، فيتباين مدى وطبيعة النواتج الثانوية. والظروف المصمّمة لنموّ خلايا وكائنات محدّدة تتيح أيضاً إمكانية نموّ ملوّثات دخيلة. ولمّا كان الكثير من المنتجات محدود القابلية للاختبار التحليلي، فإنّ ضمان الجودة يعتمد بوجه خاص على ضبط العملية واستراتيجية ضبط التلوث، عبر ضوابط أثناء العملية وعملية مُتحقّقة مفهومة تحت </w:t>
      </w:r>
      <w:r>
        <w:rPr>
          <w:rFonts w:ascii="Arial" w:eastAsia="Arial" w:hAnsi="Arial"/>
          <w:color w:val="333333"/>
          <w:sz w:val="20"/>
          <w:szCs w:val="20"/>
        </w:rPr>
        <w:t>GMP</w:t>
      </w:r>
      <w:r>
        <w:rPr>
          <w:rFonts w:ascii="Arial" w:eastAsia="Arial" w:hAnsi="Arial"/>
          <w:color w:val="333333"/>
          <w:sz w:val="20"/>
          <w:szCs w:val="20"/>
          <w:rtl/>
        </w:rPr>
        <w:t>.</w:t>
      </w:r>
    </w:p>
    <w:p w14:paraId="3850D365" w14:textId="77777777" w:rsidR="00CD5946" w:rsidRDefault="00000000">
      <w:pPr>
        <w:pBdr>
          <w:left w:val="single" w:sz="10" w:space="8" w:color="CFCFCF"/>
        </w:pBdr>
        <w:spacing w:before="60" w:after="30"/>
        <w:ind w:left="160"/>
      </w:pPr>
      <w:r>
        <w:rPr>
          <w:rFonts w:ascii="Arial" w:eastAsia="Arial" w:hAnsi="Arial"/>
          <w:b/>
          <w:bCs/>
          <w:color w:val="15512F"/>
          <w:sz w:val="20"/>
          <w:szCs w:val="20"/>
        </w:rPr>
        <w:t xml:space="preserve">Scope.  </w:t>
      </w:r>
      <w:r>
        <w:rPr>
          <w:rFonts w:ascii="Arial" w:eastAsia="Arial" w:hAnsi="Arial"/>
          <w:color w:val="1A1A1A"/>
          <w:sz w:val="20"/>
          <w:szCs w:val="20"/>
        </w:rPr>
        <w:t>This Annex applies to biological active substances and biological medicinal products, including but not limited to: vaccines; immunological products; products of recombinant DNA technology and monoclonal antibodies; and allergens. Products derived from human blood or plasma are covered here at the level of general biological GMP only (the blood-establishment requirements, cf. EU Annex 14, are outside the current scope — see §1.4.1). Advanced therapy medicinal products (ATMPs) are outside the scope of this edition (see §1.4.1 and clause B7.3). It covers the manufacturing steps from the establishment of seed lots and cell banks through cultivation, extraction, purification, formulation and filling. Part A gives general guidance; Part B gives specific guidance on selected product types.</w:t>
      </w:r>
    </w:p>
    <w:p w14:paraId="0FCA8F3A" w14:textId="77777777" w:rsidR="00CD5946" w:rsidRDefault="00000000">
      <w:pPr>
        <w:bidi/>
        <w:spacing w:after="150"/>
        <w:ind w:right="160"/>
        <w:jc w:val="right"/>
      </w:pPr>
      <w:r>
        <w:rPr>
          <w:rFonts w:ascii="Arial" w:eastAsia="Arial" w:hAnsi="Arial"/>
          <w:b/>
          <w:bCs/>
          <w:color w:val="15512F"/>
          <w:sz w:val="20"/>
          <w:szCs w:val="20"/>
          <w:rtl/>
        </w:rPr>
        <w:lastRenderedPageBreak/>
        <w:t xml:space="preserve">النطاق. </w:t>
      </w:r>
      <w:r>
        <w:rPr>
          <w:rFonts w:ascii="Arial" w:eastAsia="Arial" w:hAnsi="Arial"/>
          <w:color w:val="333333"/>
          <w:sz w:val="20"/>
          <w:szCs w:val="20"/>
          <w:rtl/>
        </w:rPr>
        <w:t xml:space="preserve">ينطبق هذا الملحق على المواد الفعّالة والمنتجات البيولوجية، ومنها: اللقاحات؛ والمنتجات المناعية؛ ومنتجات الدنا المُعاد اتحاده والأجسام المضادة وحيدة النسيلة؛ والمواد المثيرة للحساسية. وتُغطّى مشتقّات الدم أو البلازما هنا على مستوى الممارسات البيولوجية العامة فقط، أمّا منتجات العلاج المتقدّم فخارج نطاق هذا الإصدار (انظر البند 1.4.1 والبند B7.3). </w:t>
      </w:r>
      <w:r>
        <w:rPr>
          <w:rFonts w:ascii="Arial" w:eastAsia="Arial" w:hAnsi="Arial"/>
          <w:color w:val="333333"/>
          <w:sz w:val="20"/>
          <w:szCs w:val="20"/>
        </w:rPr>
        <w:t/>
      </w:r>
      <w:r>
        <w:rPr>
          <w:rFonts w:ascii="Arial" w:eastAsia="Arial" w:hAnsi="Arial"/>
          <w:color w:val="333333"/>
          <w:sz w:val="20"/>
          <w:szCs w:val="20"/>
          <w:rtl/>
        </w:rPr>
        <w:t>ويغطّي خطوات التصنيع من إنشاء البذور وبنوك الخلايا حتّى التنقية والتركيب والتعبئة. الجزء أ إرشاد عام؛ والجزء ب إرشاد محدّد لأنواع مختارة.</w:t>
      </w:r>
    </w:p>
    <w:p w14:paraId="68E56D20" w14:textId="77777777" w:rsidR="00CD5946" w:rsidRDefault="00000000">
      <w:pPr>
        <w:pStyle w:val="Heading2"/>
        <w:spacing w:before="220"/>
      </w:pPr>
      <w:bookmarkStart w:id="137" w:name="__RefHeading___Toc9431_1729075678"/>
      <w:bookmarkEnd w:id="137"/>
      <w:r>
        <w:t>Part A — 1.  Personnel</w:t>
      </w:r>
      <w:r>
        <w:rPr>
          <w:b w:val="0"/>
          <w:bCs w:val="0"/>
          <w:color w:val="1A1A1A"/>
          <w:sz w:val="21"/>
          <w:szCs w:val="21"/>
        </w:rPr>
        <w:t xml:space="preserve">   </w:t>
      </w:r>
      <w:r>
        <w:rPr>
          <w:color w:val="C8A24B"/>
          <w:sz w:val="20"/>
          <w:szCs w:val="20"/>
          <w:rtl/>
        </w:rPr>
        <w:t>الجزء أ — الأفراد</w:t>
      </w:r>
    </w:p>
    <w:p w14:paraId="44984249" w14:textId="77777777" w:rsidR="00CD5946" w:rsidRDefault="00000000">
      <w:pPr>
        <w:spacing w:after="40" w:line="266" w:lineRule="auto"/>
        <w:ind w:left="300" w:hanging="300"/>
      </w:pPr>
      <w:r>
        <w:rPr>
          <w:rFonts w:ascii="Arial" w:eastAsia="Arial" w:hAnsi="Arial"/>
          <w:b/>
          <w:bCs/>
          <w:color w:val="15512F"/>
        </w:rPr>
        <w:t xml:space="preserve">A1.1  </w:t>
      </w:r>
      <w:r>
        <w:rPr>
          <w:rFonts w:ascii="Arial" w:eastAsia="Arial" w:hAnsi="Arial"/>
          <w:color w:val="1A1A1A"/>
        </w:rPr>
        <w:t>Personnel (including those concerned with cleaning, maintenance and quality control) working in areas where biological materials are handled or manufactured shall receive training, and periodic retraining, specific to the products and to their work, including the relevant measures to protect product, personnel and the environment. The health status of personnel shall be considered for product safety; where necessary, personnel engaged in production, maintenance, testing and animal care shall be vaccinated and subject to regular health checks.</w:t>
      </w:r>
    </w:p>
    <w:p w14:paraId="2033C64F" w14:textId="77777777" w:rsidR="00CD5946" w:rsidRDefault="00000000">
      <w:pPr>
        <w:bidi/>
        <w:spacing w:after="150" w:line="300" w:lineRule="auto"/>
        <w:ind w:right="300" w:hanging="300"/>
        <w:jc w:val="right"/>
      </w:pPr>
      <w:r>
        <w:rPr>
          <w:rFonts w:ascii="Arial" w:eastAsia="Arial" w:hAnsi="Arial"/>
          <w:color w:val="333333"/>
          <w:sz w:val="20"/>
          <w:szCs w:val="20"/>
          <w:rtl/>
        </w:rPr>
        <w:t>يتلقّى العاملون (بمن فيهم المعنيّون بالتنظيف والصيانة ومراقبة الجودة) في مناطق تداول المواد البيولوجية تدريباً وإعادة تدريب دوريّة خاصة بالمنتجات وبعملهم، تشمل تدابير حماية المنتج والأفراد والبيئة. وتُراعى الحالة الصحية للأفراد لسلامة المنتج؛ وعند اللزوم يُطعّم العاملون في الإنتاج والصيانة والاختبار ورعاية الحيوان ويخضعون لفحوص صحية منتظمة.</w:t>
      </w:r>
      <w:r>
        <w:rPr>
          <w:rFonts w:ascii="Arial" w:eastAsia="Arial" w:hAnsi="Arial"/>
          <w:b/>
          <w:bCs/>
          <w:color w:val="15512F"/>
          <w:sz w:val="20"/>
          <w:szCs w:val="20"/>
          <w:rtl/>
        </w:rPr>
        <w:t xml:space="preserve">  </w:t>
      </w:r>
      <w:r>
        <w:rPr>
          <w:rFonts w:ascii="Arial" w:eastAsia="Arial" w:hAnsi="Arial"/>
          <w:b/>
          <w:bCs/>
          <w:color w:val="15512F"/>
          <w:sz w:val="20"/>
          <w:szCs w:val="20"/>
        </w:rPr>
        <w:t>A</w:t>
      </w:r>
      <w:r>
        <w:rPr>
          <w:rFonts w:ascii="Arial" w:eastAsia="Arial" w:hAnsi="Arial"/>
          <w:b/>
          <w:bCs/>
          <w:color w:val="15512F"/>
          <w:sz w:val="20"/>
          <w:szCs w:val="20"/>
          <w:rtl/>
        </w:rPr>
        <w:t>⁦</w:t>
      </w:r>
      <w:r>
        <w:rPr>
          <w:rFonts w:ascii="Arial" w:eastAsia="Arial" w:hAnsi="Arial"/>
          <w:b/>
          <w:bCs/>
          <w:color w:val="15512F"/>
          <w:sz w:val="20"/>
          <w:szCs w:val="20"/>
        </w:rPr>
        <w:t>1.1</w:t>
      </w:r>
      <w:r>
        <w:rPr>
          <w:rFonts w:ascii="Arial" w:eastAsia="Arial" w:hAnsi="Arial"/>
          <w:b/>
          <w:bCs/>
          <w:color w:val="15512F"/>
          <w:sz w:val="20"/>
          <w:szCs w:val="20"/>
          <w:rtl/>
        </w:rPr>
        <w:t>⁩</w:t>
      </w:r>
    </w:p>
    <w:p w14:paraId="7D4B8BBA" w14:textId="77777777" w:rsidR="00CD5946" w:rsidRDefault="00000000">
      <w:pPr>
        <w:spacing w:after="40" w:line="266" w:lineRule="auto"/>
        <w:ind w:left="300" w:hanging="300"/>
      </w:pPr>
      <w:r>
        <w:rPr>
          <w:rFonts w:ascii="Arial" w:eastAsia="Arial" w:hAnsi="Arial"/>
          <w:b/>
          <w:bCs/>
          <w:color w:val="15512F"/>
        </w:rPr>
        <w:t xml:space="preserve">A1.2  </w:t>
      </w:r>
      <w:r>
        <w:rPr>
          <w:rFonts w:ascii="Arial" w:eastAsia="Arial" w:hAnsi="Arial"/>
          <w:color w:val="1A1A1A"/>
        </w:rPr>
        <w:t>Where required to minimise the opportunity for cross-contamination, restrictions on the movement of all personnel (including QC, maintenance and cleaning staff) shall be controlled on the basis of QRM. In general, personnel should not pass from areas of exposure to live micro-organisms, genetically modified organisms, toxins or animals to areas where other products, inactivated products or different organisms are handled. If such passage is unavoidable, defined decontamination measures, including changing of clothing and a defined waiting period, shall be followed.</w:t>
      </w:r>
    </w:p>
    <w:p w14:paraId="563C6644" w14:textId="77777777" w:rsidR="00CD5946" w:rsidRDefault="00000000">
      <w:pPr>
        <w:bidi/>
        <w:spacing w:after="150" w:line="300" w:lineRule="auto"/>
        <w:ind w:right="300" w:hanging="300"/>
        <w:jc w:val="right"/>
      </w:pPr>
      <w:r>
        <w:rPr>
          <w:rFonts w:ascii="Arial" w:eastAsia="Arial" w:hAnsi="Arial"/>
          <w:color w:val="333333"/>
          <w:sz w:val="20"/>
          <w:szCs w:val="20"/>
          <w:rtl/>
        </w:rPr>
        <w:t>حيث يلزم تقليل فرص التلوث المتبادل تُضبط قيود حركة الأفراد جميعاً بناءً على إدارة المخاطر. وعموماً لا ينتقل الأفراد من مناطق التعرّض لكائنات حيّة أو كائنات مُعدّلة وراثيّاً أو سموم أو حيوانات إلى مناطق منتجات أخرى؛ وإن تعذّر ذلك تُتّبع تدابير إزالة تلوث محدّدة تشمل تغيير الملابس وفترة انتظار محدّدة.</w:t>
      </w:r>
      <w:r>
        <w:rPr>
          <w:rFonts w:ascii="Arial" w:eastAsia="Arial" w:hAnsi="Arial"/>
          <w:b/>
          <w:bCs/>
          <w:color w:val="15512F"/>
          <w:sz w:val="20"/>
          <w:szCs w:val="20"/>
          <w:rtl/>
        </w:rPr>
        <w:t xml:space="preserve">  </w:t>
      </w:r>
      <w:r>
        <w:rPr>
          <w:rFonts w:ascii="Arial" w:eastAsia="Arial" w:hAnsi="Arial"/>
          <w:b/>
          <w:bCs/>
          <w:color w:val="15512F"/>
          <w:sz w:val="20"/>
          <w:szCs w:val="20"/>
        </w:rPr>
        <w:t>A</w:t>
      </w:r>
      <w:r>
        <w:rPr>
          <w:rFonts w:ascii="Arial" w:eastAsia="Arial" w:hAnsi="Arial"/>
          <w:b/>
          <w:bCs/>
          <w:color w:val="15512F"/>
          <w:sz w:val="20"/>
          <w:szCs w:val="20"/>
          <w:rtl/>
        </w:rPr>
        <w:t>⁦</w:t>
      </w:r>
      <w:r>
        <w:rPr>
          <w:rFonts w:ascii="Arial" w:eastAsia="Arial" w:hAnsi="Arial"/>
          <w:b/>
          <w:bCs/>
          <w:color w:val="15512F"/>
          <w:sz w:val="20"/>
          <w:szCs w:val="20"/>
        </w:rPr>
        <w:t>1.2</w:t>
      </w:r>
      <w:r>
        <w:rPr>
          <w:rFonts w:ascii="Arial" w:eastAsia="Arial" w:hAnsi="Arial"/>
          <w:b/>
          <w:bCs/>
          <w:color w:val="15512F"/>
          <w:sz w:val="20"/>
          <w:szCs w:val="20"/>
          <w:rtl/>
        </w:rPr>
        <w:t>⁩</w:t>
      </w:r>
    </w:p>
    <w:p w14:paraId="662C16BE" w14:textId="77777777" w:rsidR="00CD5946" w:rsidRDefault="00000000">
      <w:pPr>
        <w:pStyle w:val="Heading2"/>
        <w:spacing w:before="220"/>
      </w:pPr>
      <w:bookmarkStart w:id="138" w:name="__RefHeading___Toc9433_1729075678"/>
      <w:bookmarkEnd w:id="138"/>
      <w:r>
        <w:t>Part A — 2.  Premises and equipment</w:t>
      </w:r>
      <w:r>
        <w:rPr>
          <w:b w:val="0"/>
          <w:bCs w:val="0"/>
          <w:color w:val="1A1A1A"/>
          <w:sz w:val="21"/>
          <w:szCs w:val="21"/>
        </w:rPr>
        <w:t xml:space="preserve">   </w:t>
      </w:r>
      <w:r>
        <w:rPr>
          <w:color w:val="C8A24B"/>
          <w:sz w:val="20"/>
          <w:szCs w:val="20"/>
          <w:rtl/>
        </w:rPr>
        <w:t>الجزء أ — المباني والمعدّات</w:t>
      </w:r>
    </w:p>
    <w:p w14:paraId="44716146" w14:textId="77777777" w:rsidR="00CD5946" w:rsidRDefault="00000000">
      <w:pPr>
        <w:spacing w:after="40" w:line="266" w:lineRule="auto"/>
        <w:ind w:left="300" w:hanging="300"/>
      </w:pPr>
      <w:r>
        <w:rPr>
          <w:rFonts w:ascii="Arial" w:eastAsia="Arial" w:hAnsi="Arial"/>
          <w:b/>
          <w:bCs/>
          <w:color w:val="15512F"/>
        </w:rPr>
        <w:t xml:space="preserve">A2.1  </w:t>
      </w:r>
      <w:r>
        <w:rPr>
          <w:rFonts w:ascii="Arial" w:eastAsia="Arial" w:hAnsi="Arial"/>
          <w:color w:val="1A1A1A"/>
        </w:rPr>
        <w:t>As a part of the contamination-control strategy, the degree of environmental control of particulate and microbial contamination of the production premises shall be adapted to the active substance, intermediate or finished product and to the production step, bearing in mind the potential level of contamination of the starting materials and the risks to the product. Where processes are not closed and the product is therefore exposed to the environment, environmental control and monitoring requirements equivalent to those for sterile products shall be applied as appropriate.</w:t>
      </w:r>
    </w:p>
    <w:p w14:paraId="4CAD83A2" w14:textId="77777777" w:rsidR="00CD5946" w:rsidRDefault="00000000">
      <w:pPr>
        <w:bidi/>
        <w:spacing w:after="150" w:line="300" w:lineRule="auto"/>
        <w:ind w:right="300" w:hanging="300"/>
        <w:jc w:val="right"/>
      </w:pPr>
      <w:r>
        <w:rPr>
          <w:rFonts w:ascii="Arial" w:eastAsia="Arial" w:hAnsi="Arial"/>
          <w:color w:val="333333"/>
          <w:sz w:val="20"/>
          <w:szCs w:val="20"/>
          <w:rtl/>
        </w:rPr>
        <w:t>كجزء من استراتيجية ضبط التلوث تُكيّف درجة الضبط البيئي للجسيمات والكائنات الدقيقة مع المادة أو المنتج والخطوة الإنتاجية، مع مراعاة مستوى تلوث المواد الأولية والمخاطر. وحيث تكون العمليات غير مغلقة ويتعرّض المنتج للبيئة تُطبّق متطلبات ضبط ومراقبة مكافئة لمتطلبات المنتجات المعقّمة حسب الاقتضاء.</w:t>
      </w:r>
      <w:r>
        <w:rPr>
          <w:rFonts w:ascii="Arial" w:eastAsia="Arial" w:hAnsi="Arial"/>
          <w:b/>
          <w:bCs/>
          <w:color w:val="15512F"/>
          <w:sz w:val="20"/>
          <w:szCs w:val="20"/>
          <w:rtl/>
        </w:rPr>
        <w:t xml:space="preserve">  </w:t>
      </w:r>
      <w:r>
        <w:rPr>
          <w:rFonts w:ascii="Arial" w:eastAsia="Arial" w:hAnsi="Arial"/>
          <w:b/>
          <w:bCs/>
          <w:color w:val="15512F"/>
          <w:sz w:val="20"/>
          <w:szCs w:val="20"/>
        </w:rPr>
        <w:t>A</w:t>
      </w:r>
      <w:r>
        <w:rPr>
          <w:rFonts w:ascii="Arial" w:eastAsia="Arial" w:hAnsi="Arial"/>
          <w:b/>
          <w:bCs/>
          <w:color w:val="15512F"/>
          <w:sz w:val="20"/>
          <w:szCs w:val="20"/>
          <w:rtl/>
        </w:rPr>
        <w:t>⁦</w:t>
      </w:r>
      <w:r>
        <w:rPr>
          <w:rFonts w:ascii="Arial" w:eastAsia="Arial" w:hAnsi="Arial"/>
          <w:b/>
          <w:bCs/>
          <w:color w:val="15512F"/>
          <w:sz w:val="20"/>
          <w:szCs w:val="20"/>
        </w:rPr>
        <w:t>2.1</w:t>
      </w:r>
      <w:r>
        <w:rPr>
          <w:rFonts w:ascii="Arial" w:eastAsia="Arial" w:hAnsi="Arial"/>
          <w:b/>
          <w:bCs/>
          <w:color w:val="15512F"/>
          <w:sz w:val="20"/>
          <w:szCs w:val="20"/>
          <w:rtl/>
        </w:rPr>
        <w:t>⁩</w:t>
      </w:r>
    </w:p>
    <w:p w14:paraId="379FC973" w14:textId="77777777" w:rsidR="00CD5946" w:rsidRDefault="00000000">
      <w:pPr>
        <w:spacing w:after="40" w:line="266" w:lineRule="auto"/>
        <w:ind w:left="300" w:hanging="300"/>
      </w:pPr>
      <w:r>
        <w:rPr>
          <w:rFonts w:ascii="Arial" w:eastAsia="Arial" w:hAnsi="Arial"/>
          <w:b/>
          <w:bCs/>
          <w:color w:val="15512F"/>
        </w:rPr>
        <w:t xml:space="preserve">A2.2  </w:t>
      </w:r>
      <w:r>
        <w:rPr>
          <w:rFonts w:ascii="Arial" w:eastAsia="Arial" w:hAnsi="Arial"/>
          <w:color w:val="1A1A1A"/>
        </w:rPr>
        <w:t>Dedicated production areas shall be used for the handling of live cells or organisms capable of persistence in the manufacturing environment, and for certain products (such as BCG and other live vaccines, certain potent sensitisers, and products containing live organisms or spores) where a risk to product quality cannot be adequately controlled by operational and/or technical measures. Campaign manufacture in a multi-product facility may be acceptable where justified by a documented risk assessment and supported by validated cleaning and changeover procedures.</w:t>
      </w:r>
    </w:p>
    <w:p w14:paraId="08001453"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تُستخدم مناطق إنتاج مخصّصة للتعامل مع الخلايا أو الكائنات الحيّة القادرة على البقاء في بيئة التصنيع، ولبعض المنتجات (كلقاح </w:t>
      </w:r>
      <w:r>
        <w:rPr>
          <w:rFonts w:ascii="Arial" w:eastAsia="Arial" w:hAnsi="Arial"/>
          <w:color w:val="333333"/>
          <w:sz w:val="20"/>
          <w:szCs w:val="20"/>
        </w:rPr>
        <w:t>BCG</w:t>
      </w:r>
      <w:r>
        <w:rPr>
          <w:rFonts w:ascii="Arial" w:eastAsia="Arial" w:hAnsi="Arial"/>
          <w:color w:val="333333"/>
          <w:sz w:val="20"/>
          <w:szCs w:val="20"/>
          <w:rtl/>
        </w:rPr>
        <w:t xml:space="preserve"> واللقاحات الحيّة والمحسّسات القوية والمنتجات الحاوية لكائنات حيّة أو أبواغ) حيث لا يمكن ضبط المخاطر بالتدابير التشغيلية والتقنية. وقد يُقبل التصنيع بالحملات في مرفق متعدّد المنتجات بتبرير موثّق وإجراءات تنظيف وتحول مُتحقّقة.</w:t>
      </w:r>
      <w:r>
        <w:rPr>
          <w:rFonts w:ascii="Arial" w:eastAsia="Arial" w:hAnsi="Arial"/>
          <w:b/>
          <w:bCs/>
          <w:color w:val="15512F"/>
          <w:sz w:val="20"/>
          <w:szCs w:val="20"/>
          <w:rtl/>
        </w:rPr>
        <w:t xml:space="preserve">  </w:t>
      </w:r>
      <w:r>
        <w:rPr>
          <w:rFonts w:ascii="Arial" w:eastAsia="Arial" w:hAnsi="Arial"/>
          <w:b/>
          <w:bCs/>
          <w:color w:val="15512F"/>
          <w:sz w:val="20"/>
          <w:szCs w:val="20"/>
        </w:rPr>
        <w:t>A</w:t>
      </w:r>
      <w:r>
        <w:rPr>
          <w:rFonts w:ascii="Arial" w:eastAsia="Arial" w:hAnsi="Arial"/>
          <w:b/>
          <w:bCs/>
          <w:color w:val="15512F"/>
          <w:sz w:val="20"/>
          <w:szCs w:val="20"/>
          <w:rtl/>
        </w:rPr>
        <w:t>⁦</w:t>
      </w:r>
      <w:r>
        <w:rPr>
          <w:rFonts w:ascii="Arial" w:eastAsia="Arial" w:hAnsi="Arial"/>
          <w:b/>
          <w:bCs/>
          <w:color w:val="15512F"/>
          <w:sz w:val="20"/>
          <w:szCs w:val="20"/>
        </w:rPr>
        <w:t>2.2</w:t>
      </w:r>
      <w:r>
        <w:rPr>
          <w:rFonts w:ascii="Arial" w:eastAsia="Arial" w:hAnsi="Arial"/>
          <w:b/>
          <w:bCs/>
          <w:color w:val="15512F"/>
          <w:sz w:val="20"/>
          <w:szCs w:val="20"/>
          <w:rtl/>
        </w:rPr>
        <w:t>⁩</w:t>
      </w:r>
    </w:p>
    <w:p w14:paraId="06187BF0" w14:textId="77777777" w:rsidR="00CD5946" w:rsidRDefault="00000000">
      <w:pPr>
        <w:pBdr>
          <w:left w:val="single" w:sz="6" w:space="8" w:color="CFCFCF"/>
        </w:pBdr>
        <w:spacing w:after="30"/>
        <w:ind w:left="300"/>
      </w:pPr>
      <w:r>
        <w:rPr>
          <w:rFonts w:ascii="Arial" w:eastAsia="Arial" w:hAnsi="Arial"/>
          <w:b/>
          <w:bCs/>
          <w:color w:val="5A5A5A"/>
          <w:sz w:val="18"/>
          <w:szCs w:val="18"/>
        </w:rPr>
        <w:lastRenderedPageBreak/>
        <w:t xml:space="preserve">Note.  </w:t>
      </w:r>
      <w:r>
        <w:rPr>
          <w:rFonts w:ascii="Arial" w:eastAsia="Arial" w:hAnsi="Arial"/>
          <w:i/>
          <w:iCs/>
          <w:color w:val="5A5A5A"/>
          <w:sz w:val="18"/>
          <w:szCs w:val="18"/>
        </w:rPr>
        <w:t>The decision between dedicated facilities and campaign manufacture is risk-based: it weighs the nature of the organism (pathogenicity, sporulation, persistence), the ability of cleaning and inactivation to be validated, and the consequences of cross-contamination. Live-organism and spore-forming processes attract the most stringent segregation.</w:t>
      </w:r>
    </w:p>
    <w:p w14:paraId="74575A1C" w14:textId="77777777" w:rsidR="00CD5946" w:rsidRDefault="00000000">
      <w:pPr>
        <w:bidi/>
        <w:spacing w:after="140"/>
        <w:ind w:right="300"/>
        <w:jc w:val="right"/>
      </w:pPr>
      <w:r>
        <w:rPr>
          <w:rFonts w:ascii="Arial" w:eastAsia="Arial" w:hAnsi="Arial"/>
          <w:color w:val="5A5A5A"/>
          <w:sz w:val="18"/>
          <w:szCs w:val="18"/>
          <w:rtl/>
        </w:rPr>
        <w:t>يُتّخذ القرار بين المرافق المخصّصة والتصنيع بالحملات على أساس المخاطر: طبيعة الكائن (الإمراضية والتبوّغ والبقاء)، وإمكانية التحقّق من التنظيف والتعطيل، وعواقب التلوث المتبادل. وتستوجب العمليات ذات الكائنات الحيّة والمبوّغة أشدّ العزل.</w:t>
      </w:r>
      <w:r>
        <w:rPr>
          <w:rFonts w:ascii="Arial" w:eastAsia="Arial" w:hAnsi="Arial"/>
          <w:b/>
          <w:bCs/>
          <w:color w:val="5A5A5A"/>
          <w:sz w:val="18"/>
          <w:szCs w:val="18"/>
          <w:rtl/>
        </w:rPr>
        <w:t xml:space="preserve">  ملاحظة.</w:t>
      </w:r>
    </w:p>
    <w:p w14:paraId="5628DFA7" w14:textId="77777777" w:rsidR="00CD5946" w:rsidRDefault="00000000">
      <w:pPr>
        <w:pStyle w:val="Heading2"/>
        <w:spacing w:before="220"/>
      </w:pPr>
      <w:bookmarkStart w:id="139" w:name="__RefHeading___Toc9435_1729075678"/>
      <w:bookmarkEnd w:id="139"/>
      <w:r>
        <w:t>Part A — 3.  Seed lots and cell banks</w:t>
      </w:r>
      <w:r>
        <w:rPr>
          <w:b w:val="0"/>
          <w:bCs w:val="0"/>
          <w:color w:val="1A1A1A"/>
          <w:sz w:val="21"/>
          <w:szCs w:val="21"/>
        </w:rPr>
        <w:t xml:space="preserve">   </w:t>
      </w:r>
      <w:r>
        <w:rPr>
          <w:color w:val="C8A24B"/>
          <w:sz w:val="20"/>
          <w:szCs w:val="20"/>
          <w:rtl/>
        </w:rPr>
        <w:t>الجزء أ — البذور وبنوك الخلايا</w:t>
      </w:r>
    </w:p>
    <w:p w14:paraId="7918F0B1" w14:textId="77777777" w:rsidR="00CD5946" w:rsidRDefault="00000000">
      <w:pPr>
        <w:spacing w:after="40" w:line="266" w:lineRule="auto"/>
        <w:ind w:left="300" w:hanging="300"/>
      </w:pPr>
      <w:r>
        <w:rPr>
          <w:rFonts w:ascii="Arial" w:eastAsia="Arial" w:hAnsi="Arial"/>
          <w:b/>
          <w:bCs/>
          <w:color w:val="15512F"/>
        </w:rPr>
        <w:t xml:space="preserve">A3.1  </w:t>
      </w:r>
      <w:r>
        <w:rPr>
          <w:rFonts w:ascii="Arial" w:eastAsia="Arial" w:hAnsi="Arial"/>
          <w:color w:val="1A1A1A"/>
        </w:rPr>
        <w:t>To prevent the unwanted drift of properties that might ensue from repeated subcultures or multiple generations, the production of biological substances obtained by microbial culture, cell culture or propagation in embryos and animals shall be based on a system of master and working seed lots and/or cell banks. The number of generations (doublings, passages) between the seed lot or cell bank and the finished product shall be consistent with the marketing-authorisation dossier and shall not be exceeded.</w:t>
      </w:r>
    </w:p>
    <w:p w14:paraId="4CD6AD23" w14:textId="77777777" w:rsidR="00CD5946" w:rsidRDefault="00000000">
      <w:pPr>
        <w:bidi/>
        <w:spacing w:after="150" w:line="300" w:lineRule="auto"/>
        <w:ind w:right="300" w:hanging="300"/>
        <w:jc w:val="right"/>
      </w:pPr>
      <w:r>
        <w:rPr>
          <w:rFonts w:ascii="Arial" w:eastAsia="Arial" w:hAnsi="Arial"/>
          <w:color w:val="333333"/>
          <w:sz w:val="20"/>
          <w:szCs w:val="20"/>
          <w:rtl/>
        </w:rPr>
        <w:t>لمنع انحراف الخواصّ الناتج عن الزرع المتكرّر أو تعدّد الأجيال يُبنى إنتاج المواد البيولوجية على نظام بذور وبنوك خلايا رئيسية وعاملة. ويجب أن يتسق عدد الأجيال (الانقسامات والتمريرات) بين البذرة أو بنك الخلايا والمنتج النهائي مع ملف ترخيص التسويق وألّا يُتجاوز.</w:t>
      </w:r>
      <w:r>
        <w:rPr>
          <w:rFonts w:ascii="Arial" w:eastAsia="Arial" w:hAnsi="Arial"/>
          <w:b/>
          <w:bCs/>
          <w:color w:val="15512F"/>
          <w:sz w:val="20"/>
          <w:szCs w:val="20"/>
          <w:rtl/>
        </w:rPr>
        <w:t xml:space="preserve">  </w:t>
      </w:r>
      <w:r>
        <w:rPr>
          <w:rFonts w:ascii="Arial" w:eastAsia="Arial" w:hAnsi="Arial"/>
          <w:b/>
          <w:bCs/>
          <w:color w:val="15512F"/>
          <w:sz w:val="20"/>
          <w:szCs w:val="20"/>
        </w:rPr>
        <w:t>A</w:t>
      </w:r>
      <w:r>
        <w:rPr>
          <w:rFonts w:ascii="Arial" w:eastAsia="Arial" w:hAnsi="Arial"/>
          <w:b/>
          <w:bCs/>
          <w:color w:val="15512F"/>
          <w:sz w:val="20"/>
          <w:szCs w:val="20"/>
          <w:rtl/>
        </w:rPr>
        <w:t>⁦</w:t>
      </w:r>
      <w:r>
        <w:rPr>
          <w:rFonts w:ascii="Arial" w:eastAsia="Arial" w:hAnsi="Arial"/>
          <w:b/>
          <w:bCs/>
          <w:color w:val="15512F"/>
          <w:sz w:val="20"/>
          <w:szCs w:val="20"/>
        </w:rPr>
        <w:t>3.1</w:t>
      </w:r>
      <w:r>
        <w:rPr>
          <w:rFonts w:ascii="Arial" w:eastAsia="Arial" w:hAnsi="Arial"/>
          <w:b/>
          <w:bCs/>
          <w:color w:val="15512F"/>
          <w:sz w:val="20"/>
          <w:szCs w:val="20"/>
          <w:rtl/>
        </w:rPr>
        <w:t>⁩</w:t>
      </w:r>
    </w:p>
    <w:p w14:paraId="62BCF4D9" w14:textId="77777777" w:rsidR="00CD5946" w:rsidRDefault="00000000">
      <w:pPr>
        <w:spacing w:after="40" w:line="266" w:lineRule="auto"/>
        <w:ind w:left="300" w:hanging="300"/>
      </w:pPr>
      <w:r>
        <w:rPr>
          <w:rFonts w:ascii="Arial" w:eastAsia="Arial" w:hAnsi="Arial"/>
          <w:b/>
          <w:bCs/>
          <w:color w:val="15512F"/>
        </w:rPr>
        <w:t xml:space="preserve">A3.2  </w:t>
      </w:r>
      <w:r>
        <w:rPr>
          <w:rFonts w:ascii="Arial" w:eastAsia="Arial" w:hAnsi="Arial"/>
          <w:color w:val="1A1A1A"/>
        </w:rPr>
        <w:t>Seed lots and cell banks shall be established, characterised, qualified and stored in a manner that minimises the risk of contamination or alteration. Establishment of the seed lot and cell bank shall be performed in an environment appropriate to the protection of the seed lot, the cell bank and, where relevant, the personnel. The number of containers, their storage conditions, and their characterisation (including identity, purity, freedom from adventitious agents and genetic stability) shall be documented; storage at more than one location is recommended to mitigate the risk of total loss.</w:t>
      </w:r>
    </w:p>
    <w:p w14:paraId="060A2092" w14:textId="77777777" w:rsidR="00CD5946" w:rsidRDefault="00000000">
      <w:pPr>
        <w:bidi/>
        <w:spacing w:after="150" w:line="300" w:lineRule="auto"/>
        <w:ind w:right="300" w:hanging="300"/>
        <w:jc w:val="right"/>
      </w:pPr>
      <w:r>
        <w:rPr>
          <w:rFonts w:ascii="Arial" w:eastAsia="Arial" w:hAnsi="Arial"/>
          <w:color w:val="333333"/>
          <w:sz w:val="20"/>
          <w:szCs w:val="20"/>
          <w:rtl/>
        </w:rPr>
        <w:t>تُنشأ البذور وبنوك الخلايا وتُوصّف وتُؤهّل وتُخزّن بما يقلّل خطر التلوث أو التغيّر. ويتمّ الإنشاء في بيئة ملائمة لحماية البذرة وبنك الخلايا والأفراد. ويُوثّق عدد الحاويات وظروف التخزين والتوصيف (الهوية والنقاء والخلوّ من العوامل الدخيلة والاستقرار الجيني)؛ ويُوصى بالتخزين في أكثر من موقع لتقليل خطر الفقد الكامل.</w:t>
      </w:r>
      <w:r>
        <w:rPr>
          <w:rFonts w:ascii="Arial" w:eastAsia="Arial" w:hAnsi="Arial"/>
          <w:b/>
          <w:bCs/>
          <w:color w:val="15512F"/>
          <w:sz w:val="20"/>
          <w:szCs w:val="20"/>
          <w:rtl/>
        </w:rPr>
        <w:t xml:space="preserve">  </w:t>
      </w:r>
      <w:r>
        <w:rPr>
          <w:rFonts w:ascii="Arial" w:eastAsia="Arial" w:hAnsi="Arial"/>
          <w:b/>
          <w:bCs/>
          <w:color w:val="15512F"/>
          <w:sz w:val="20"/>
          <w:szCs w:val="20"/>
        </w:rPr>
        <w:t>A</w:t>
      </w:r>
      <w:r>
        <w:rPr>
          <w:rFonts w:ascii="Arial" w:eastAsia="Arial" w:hAnsi="Arial"/>
          <w:b/>
          <w:bCs/>
          <w:color w:val="15512F"/>
          <w:sz w:val="20"/>
          <w:szCs w:val="20"/>
          <w:rtl/>
        </w:rPr>
        <w:t>⁦</w:t>
      </w:r>
      <w:r>
        <w:rPr>
          <w:rFonts w:ascii="Arial" w:eastAsia="Arial" w:hAnsi="Arial"/>
          <w:b/>
          <w:bCs/>
          <w:color w:val="15512F"/>
          <w:sz w:val="20"/>
          <w:szCs w:val="20"/>
        </w:rPr>
        <w:t>3.2</w:t>
      </w:r>
      <w:r>
        <w:rPr>
          <w:rFonts w:ascii="Arial" w:eastAsia="Arial" w:hAnsi="Arial"/>
          <w:b/>
          <w:bCs/>
          <w:color w:val="15512F"/>
          <w:sz w:val="20"/>
          <w:szCs w:val="20"/>
          <w:rtl/>
        </w:rPr>
        <w:t>⁩</w:t>
      </w:r>
    </w:p>
    <w:p w14:paraId="4D903E8E" w14:textId="77777777" w:rsidR="00CD5946" w:rsidRDefault="00000000">
      <w:pPr>
        <w:pStyle w:val="Heading2"/>
        <w:spacing w:before="220"/>
      </w:pPr>
      <w:bookmarkStart w:id="140" w:name="__RefHeading___Toc9437_1729075678"/>
      <w:bookmarkEnd w:id="140"/>
      <w:r>
        <w:t>Part A — 4.  Starting and raw materials</w:t>
      </w:r>
      <w:r>
        <w:rPr>
          <w:b w:val="0"/>
          <w:bCs w:val="0"/>
          <w:color w:val="1A1A1A"/>
          <w:sz w:val="21"/>
          <w:szCs w:val="21"/>
        </w:rPr>
        <w:t xml:space="preserve">   </w:t>
      </w:r>
      <w:r>
        <w:rPr>
          <w:color w:val="C8A24B"/>
          <w:sz w:val="20"/>
          <w:szCs w:val="20"/>
          <w:rtl/>
        </w:rPr>
        <w:t>الجزء أ — المواد الأولية والخام</w:t>
      </w:r>
    </w:p>
    <w:p w14:paraId="31BCAC4C" w14:textId="77777777" w:rsidR="00CD5946" w:rsidRDefault="00000000">
      <w:pPr>
        <w:spacing w:after="40" w:line="266" w:lineRule="auto"/>
        <w:ind w:left="300" w:hanging="300"/>
      </w:pPr>
      <w:r>
        <w:rPr>
          <w:rFonts w:ascii="Arial" w:eastAsia="Arial" w:hAnsi="Arial"/>
          <w:b/>
          <w:bCs/>
          <w:color w:val="15512F"/>
        </w:rPr>
        <w:t xml:space="preserve">A4.1  </w:t>
      </w:r>
      <w:r>
        <w:rPr>
          <w:rFonts w:ascii="Arial" w:eastAsia="Arial" w:hAnsi="Arial"/>
          <w:color w:val="1A1A1A"/>
        </w:rPr>
        <w:t>The source, origin, supply chain and suitability of biological starting and raw materials (including those of human or animal origin) shall be clearly defined and controlled. Where testing takes a long time, it may be permissible to process starting materials before the results are available, the risk of using a potentially failed material being clearly defined and managed; in such cases, release of the finished product shall be conditional on satisfactory results.</w:t>
      </w:r>
    </w:p>
    <w:p w14:paraId="2E2AA9DD" w14:textId="77777777" w:rsidR="00CD5946" w:rsidRDefault="00000000">
      <w:pPr>
        <w:bidi/>
        <w:spacing w:after="150" w:line="300" w:lineRule="auto"/>
        <w:ind w:right="300" w:hanging="300"/>
        <w:jc w:val="right"/>
      </w:pPr>
      <w:r>
        <w:rPr>
          <w:rFonts w:ascii="Arial" w:eastAsia="Arial" w:hAnsi="Arial"/>
          <w:color w:val="333333"/>
          <w:sz w:val="20"/>
          <w:szCs w:val="20"/>
          <w:rtl/>
        </w:rPr>
        <w:t>تُحدّد وتُضبط بوضوح مصدر وأصل وسلسلة توريد وملاءمة المواد البيولوجية الأولية والخام (بما فيها ذات المنشأ البشري أو الحيواني). وحيث يطول الاختبار قد يُسمح بمعالجة المواد قبل توافر النتائج، مع تحديد وإدارة خطر استخدام مادة قد تخفق؛ ويكون الإفراج عن المنتج النهائي مشروطاً بنتائج مُرضية.</w:t>
      </w:r>
      <w:r>
        <w:rPr>
          <w:rFonts w:ascii="Arial" w:eastAsia="Arial" w:hAnsi="Arial"/>
          <w:b/>
          <w:bCs/>
          <w:color w:val="15512F"/>
          <w:sz w:val="20"/>
          <w:szCs w:val="20"/>
          <w:rtl/>
        </w:rPr>
        <w:t xml:space="preserve">  </w:t>
      </w:r>
      <w:r>
        <w:rPr>
          <w:rFonts w:ascii="Arial" w:eastAsia="Arial" w:hAnsi="Arial"/>
          <w:b/>
          <w:bCs/>
          <w:color w:val="15512F"/>
          <w:sz w:val="20"/>
          <w:szCs w:val="20"/>
        </w:rPr>
        <w:t>A</w:t>
      </w:r>
      <w:r>
        <w:rPr>
          <w:rFonts w:ascii="Arial" w:eastAsia="Arial" w:hAnsi="Arial"/>
          <w:b/>
          <w:bCs/>
          <w:color w:val="15512F"/>
          <w:sz w:val="20"/>
          <w:szCs w:val="20"/>
          <w:rtl/>
        </w:rPr>
        <w:t>⁦</w:t>
      </w:r>
      <w:r>
        <w:rPr>
          <w:rFonts w:ascii="Arial" w:eastAsia="Arial" w:hAnsi="Arial"/>
          <w:b/>
          <w:bCs/>
          <w:color w:val="15512F"/>
          <w:sz w:val="20"/>
          <w:szCs w:val="20"/>
        </w:rPr>
        <w:t>4.1</w:t>
      </w:r>
      <w:r>
        <w:rPr>
          <w:rFonts w:ascii="Arial" w:eastAsia="Arial" w:hAnsi="Arial"/>
          <w:b/>
          <w:bCs/>
          <w:color w:val="15512F"/>
          <w:sz w:val="20"/>
          <w:szCs w:val="20"/>
          <w:rtl/>
        </w:rPr>
        <w:t>⁩</w:t>
      </w:r>
    </w:p>
    <w:p w14:paraId="35C35D5A" w14:textId="77777777" w:rsidR="00CD5946" w:rsidRDefault="00000000">
      <w:pPr>
        <w:spacing w:after="40" w:line="266" w:lineRule="auto"/>
        <w:ind w:left="300" w:hanging="300"/>
      </w:pPr>
      <w:r>
        <w:rPr>
          <w:rFonts w:ascii="Arial" w:eastAsia="Arial" w:hAnsi="Arial"/>
          <w:b/>
          <w:bCs/>
          <w:color w:val="15512F"/>
        </w:rPr>
        <w:t xml:space="preserve">A4.2  </w:t>
      </w:r>
      <w:r>
        <w:rPr>
          <w:rFonts w:ascii="Arial" w:eastAsia="Arial" w:hAnsi="Arial"/>
          <w:color w:val="1A1A1A"/>
        </w:rPr>
        <w:t>Where sterilisation of starting and raw materials is required, it shall be carried out where possible by heat; where necessary, other appropriate methods (for example irradiation) may be used. Measures to reduce the risk of contamination from adventitious agents and the risk of transmissible spongiform encephalopathy (TSE) shall be applied; materials of ruminant origin shall comply with the TSE minimisation requirements and the relevant certification.</w:t>
      </w:r>
    </w:p>
    <w:p w14:paraId="22E105E9" w14:textId="77777777" w:rsidR="00CD5946" w:rsidRDefault="00000000">
      <w:pPr>
        <w:bidi/>
        <w:spacing w:after="150" w:line="300" w:lineRule="auto"/>
        <w:ind w:right="300" w:hanging="300"/>
        <w:jc w:val="right"/>
      </w:pPr>
      <w:r>
        <w:rPr>
          <w:rFonts w:ascii="Arial" w:eastAsia="Arial" w:hAnsi="Arial"/>
          <w:color w:val="333333"/>
          <w:sz w:val="20"/>
          <w:szCs w:val="20"/>
          <w:rtl/>
        </w:rPr>
        <w:t>حيث يلزم تعقيم المواد الأولية والخام يُجرى بالحرارة قدر الإمكان؛ وعند اللزوم تُستخدم طرائق مناسبة أخرى (كالإشعاع). وتُطبّق تدابير خفض خطر التلوث بالعوامل الدخيلة وخطر اعتلال الدماغ الإسفنجي المُعدي (</w:t>
      </w:r>
      <w:r>
        <w:rPr>
          <w:rFonts w:ascii="Arial" w:eastAsia="Arial" w:hAnsi="Arial"/>
          <w:color w:val="333333"/>
          <w:sz w:val="20"/>
          <w:szCs w:val="20"/>
        </w:rPr>
        <w:t>TSE</w:t>
      </w:r>
      <w:r>
        <w:rPr>
          <w:rFonts w:ascii="Arial" w:eastAsia="Arial" w:hAnsi="Arial"/>
          <w:color w:val="333333"/>
          <w:sz w:val="20"/>
          <w:szCs w:val="20"/>
          <w:rtl/>
        </w:rPr>
        <w:t xml:space="preserve">)؛ وتلتزم المواد ذات المنشأ المجترّ بمتطلبات خفض </w:t>
      </w:r>
      <w:r>
        <w:rPr>
          <w:rFonts w:ascii="Arial" w:eastAsia="Arial" w:hAnsi="Arial"/>
          <w:color w:val="333333"/>
          <w:sz w:val="20"/>
          <w:szCs w:val="20"/>
        </w:rPr>
        <w:t>TSE</w:t>
      </w:r>
      <w:r>
        <w:rPr>
          <w:rFonts w:ascii="Arial" w:eastAsia="Arial" w:hAnsi="Arial"/>
          <w:color w:val="333333"/>
          <w:sz w:val="20"/>
          <w:szCs w:val="20"/>
          <w:rtl/>
        </w:rPr>
        <w:t xml:space="preserve"> والشهادات ذات الصلة.</w:t>
      </w:r>
      <w:r>
        <w:rPr>
          <w:rFonts w:ascii="Arial" w:eastAsia="Arial" w:hAnsi="Arial"/>
          <w:b/>
          <w:bCs/>
          <w:color w:val="15512F"/>
          <w:sz w:val="20"/>
          <w:szCs w:val="20"/>
          <w:rtl/>
        </w:rPr>
        <w:t xml:space="preserve">  </w:t>
      </w:r>
      <w:r>
        <w:rPr>
          <w:rFonts w:ascii="Arial" w:eastAsia="Arial" w:hAnsi="Arial"/>
          <w:b/>
          <w:bCs/>
          <w:color w:val="15512F"/>
          <w:sz w:val="20"/>
          <w:szCs w:val="20"/>
        </w:rPr>
        <w:t>A</w:t>
      </w:r>
      <w:r>
        <w:rPr>
          <w:rFonts w:ascii="Arial" w:eastAsia="Arial" w:hAnsi="Arial"/>
          <w:b/>
          <w:bCs/>
          <w:color w:val="15512F"/>
          <w:sz w:val="20"/>
          <w:szCs w:val="20"/>
          <w:rtl/>
        </w:rPr>
        <w:t>⁦</w:t>
      </w:r>
      <w:r>
        <w:rPr>
          <w:rFonts w:ascii="Arial" w:eastAsia="Arial" w:hAnsi="Arial"/>
          <w:b/>
          <w:bCs/>
          <w:color w:val="15512F"/>
          <w:sz w:val="20"/>
          <w:szCs w:val="20"/>
        </w:rPr>
        <w:t>4.2</w:t>
      </w:r>
      <w:r>
        <w:rPr>
          <w:rFonts w:ascii="Arial" w:eastAsia="Arial" w:hAnsi="Arial"/>
          <w:b/>
          <w:bCs/>
          <w:color w:val="15512F"/>
          <w:sz w:val="20"/>
          <w:szCs w:val="20"/>
          <w:rtl/>
        </w:rPr>
        <w:t>⁩</w:t>
      </w:r>
    </w:p>
    <w:p w14:paraId="2DAC88AC" w14:textId="77777777" w:rsidR="00CD5946" w:rsidRDefault="00000000">
      <w:pPr>
        <w:pStyle w:val="Heading2"/>
        <w:spacing w:before="220"/>
      </w:pPr>
      <w:bookmarkStart w:id="141" w:name="__RefHeading___Toc9439_1729075678"/>
      <w:bookmarkEnd w:id="141"/>
      <w:r>
        <w:t>Part A — 5.  Production and manufacturing operations</w:t>
      </w:r>
      <w:r>
        <w:rPr>
          <w:b w:val="0"/>
          <w:bCs w:val="0"/>
          <w:color w:val="1A1A1A"/>
          <w:sz w:val="21"/>
          <w:szCs w:val="21"/>
        </w:rPr>
        <w:t xml:space="preserve">   </w:t>
      </w:r>
      <w:r>
        <w:rPr>
          <w:color w:val="C8A24B"/>
          <w:sz w:val="20"/>
          <w:szCs w:val="20"/>
          <w:rtl/>
        </w:rPr>
        <w:t>الجزء أ — الإنتاج وعمليات التصنيع</w:t>
      </w:r>
    </w:p>
    <w:p w14:paraId="4F03FDD5" w14:textId="77777777" w:rsidR="00CD5946" w:rsidRDefault="00000000">
      <w:pPr>
        <w:spacing w:after="40" w:line="266" w:lineRule="auto"/>
        <w:ind w:left="300" w:hanging="300"/>
      </w:pPr>
      <w:r>
        <w:rPr>
          <w:rFonts w:ascii="Arial" w:eastAsia="Arial" w:hAnsi="Arial"/>
          <w:b/>
          <w:bCs/>
          <w:color w:val="15512F"/>
        </w:rPr>
        <w:lastRenderedPageBreak/>
        <w:t xml:space="preserve">A5.1  </w:t>
      </w:r>
      <w:r>
        <w:rPr>
          <w:rFonts w:ascii="Arial" w:eastAsia="Arial" w:hAnsi="Arial"/>
          <w:color w:val="1A1A1A"/>
        </w:rPr>
        <w:t>Process conditions (such as temperature, pH, dissolved oxygen, agitation, addition rates and times) shall be controlled, monitored and recorded within the validated ranges, since the biological process is the principal assurance of product quality. Critical process parameters and in-process controls (including bioburden and, where relevant, endotoxin and adventitious-agent testing) shall be defined and their acceptance criteria justified.</w:t>
      </w:r>
    </w:p>
    <w:p w14:paraId="672DBBEE" w14:textId="77777777" w:rsidR="00CD5946" w:rsidRDefault="00000000">
      <w:pPr>
        <w:bidi/>
        <w:spacing w:after="150" w:line="300" w:lineRule="auto"/>
        <w:ind w:right="300" w:hanging="300"/>
        <w:jc w:val="right"/>
      </w:pPr>
      <w:r>
        <w:rPr>
          <w:rFonts w:ascii="Arial" w:eastAsia="Arial" w:hAnsi="Arial"/>
          <w:color w:val="333333"/>
          <w:sz w:val="20"/>
          <w:szCs w:val="20"/>
          <w:rtl/>
        </w:rPr>
        <w:t>تُضبط وتُراقَب وتُسجّل ظروف العملية (الحرارة والأس الهيدروجيني والأكسجين المذاب والتحريك ومعدّلات وأوقات الإضافة) ضمن النطاقات المُتحقّقة، إذ إنّ العملية البيولوجية هي الضمان الرئيسي للجودة. وتُحدّد المتغيّرات الحرجة والضوابط أثناء العملية (الحمل الميكروبي والذيفان والعوامل الدخيلة) وتُبرّر معايير قبولها.</w:t>
      </w:r>
      <w:r>
        <w:rPr>
          <w:rFonts w:ascii="Arial" w:eastAsia="Arial" w:hAnsi="Arial"/>
          <w:b/>
          <w:bCs/>
          <w:color w:val="15512F"/>
          <w:sz w:val="20"/>
          <w:szCs w:val="20"/>
          <w:rtl/>
        </w:rPr>
        <w:t xml:space="preserve">  </w:t>
      </w:r>
      <w:r>
        <w:rPr>
          <w:rFonts w:ascii="Arial" w:eastAsia="Arial" w:hAnsi="Arial"/>
          <w:b/>
          <w:bCs/>
          <w:color w:val="15512F"/>
          <w:sz w:val="20"/>
          <w:szCs w:val="20"/>
        </w:rPr>
        <w:t>A</w:t>
      </w:r>
      <w:r>
        <w:rPr>
          <w:rFonts w:ascii="Arial" w:eastAsia="Arial" w:hAnsi="Arial"/>
          <w:b/>
          <w:bCs/>
          <w:color w:val="15512F"/>
          <w:sz w:val="20"/>
          <w:szCs w:val="20"/>
          <w:rtl/>
        </w:rPr>
        <w:t>⁦</w:t>
      </w:r>
      <w:r>
        <w:rPr>
          <w:rFonts w:ascii="Arial" w:eastAsia="Arial" w:hAnsi="Arial"/>
          <w:b/>
          <w:bCs/>
          <w:color w:val="15512F"/>
          <w:sz w:val="20"/>
          <w:szCs w:val="20"/>
        </w:rPr>
        <w:t>5.1</w:t>
      </w:r>
      <w:r>
        <w:rPr>
          <w:rFonts w:ascii="Arial" w:eastAsia="Arial" w:hAnsi="Arial"/>
          <w:b/>
          <w:bCs/>
          <w:color w:val="15512F"/>
          <w:sz w:val="20"/>
          <w:szCs w:val="20"/>
          <w:rtl/>
        </w:rPr>
        <w:t>⁩</w:t>
      </w:r>
    </w:p>
    <w:p w14:paraId="608F7459" w14:textId="77777777" w:rsidR="00CD5946" w:rsidRDefault="00000000">
      <w:pPr>
        <w:spacing w:after="40" w:line="266" w:lineRule="auto"/>
        <w:ind w:left="300" w:hanging="300"/>
      </w:pPr>
      <w:r>
        <w:rPr>
          <w:rFonts w:ascii="Arial" w:eastAsia="Arial" w:hAnsi="Arial"/>
          <w:b/>
          <w:bCs/>
          <w:color w:val="15512F"/>
        </w:rPr>
        <w:t xml:space="preserve">A5.2  </w:t>
      </w:r>
      <w:r>
        <w:rPr>
          <w:rFonts w:ascii="Arial" w:eastAsia="Arial" w:hAnsi="Arial"/>
          <w:color w:val="1A1A1A"/>
        </w:rPr>
        <w:t>Where the manufacturing process includes deliberate steps for the removal or inactivation of viruses or other contaminants, these shall be validated in accordance with ICH Q5A and operated within the validated parameters. Closed systems and segregation shall be used to prevent contamination and cross-contamination during cultivation, harvest and purification; the addition of materials or cultures to bioreactors and other vessels, and sampling, shall be carried out under controlled conditions to prevent ingress of contamination.</w:t>
      </w:r>
    </w:p>
    <w:p w14:paraId="7A6F60D5"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حيث تتضمّن العملية خطوات متعمّدة لإزالة أو تعطيل الفيروسات أو الملوّثات تُتحقّق وفق </w:t>
      </w:r>
      <w:r>
        <w:rPr>
          <w:rFonts w:ascii="Arial" w:eastAsia="Arial" w:hAnsi="Arial"/>
          <w:color w:val="333333"/>
          <w:sz w:val="20"/>
          <w:szCs w:val="20"/>
        </w:rPr>
        <w:t>ICH Q</w:t>
      </w:r>
      <w:r>
        <w:rPr>
          <w:rFonts w:ascii="Arial" w:eastAsia="Arial" w:hAnsi="Arial"/>
          <w:color w:val="333333"/>
          <w:sz w:val="20"/>
          <w:szCs w:val="20"/>
          <w:rtl/>
        </w:rPr>
        <w:t>⁦</w:t>
      </w:r>
      <w:r>
        <w:rPr>
          <w:rFonts w:ascii="Arial" w:eastAsia="Arial" w:hAnsi="Arial"/>
          <w:color w:val="333333"/>
          <w:sz w:val="20"/>
          <w:szCs w:val="20"/>
        </w:rPr>
        <w:t>5A</w:t>
      </w:r>
      <w:r>
        <w:rPr>
          <w:rFonts w:ascii="Arial" w:eastAsia="Arial" w:hAnsi="Arial"/>
          <w:color w:val="333333"/>
          <w:sz w:val="20"/>
          <w:szCs w:val="20"/>
          <w:rtl/>
        </w:rPr>
        <w:t>⁩ وتُشغّل ضمن النطاقات المُتحقّقة. وتُستخدم الأنظمة المغلقة والعزل لمنع التلوث والتلوث المتبادل أثناء الزرع والحصاد والتنقية؛ وتُجرى إضافة المواد وأخذ العينات تحت ظروف مضبوطة لمنع دخول التلوث.</w:t>
      </w:r>
      <w:r>
        <w:rPr>
          <w:rFonts w:ascii="Arial" w:eastAsia="Arial" w:hAnsi="Arial"/>
          <w:b/>
          <w:bCs/>
          <w:color w:val="15512F"/>
          <w:sz w:val="20"/>
          <w:szCs w:val="20"/>
          <w:rtl/>
        </w:rPr>
        <w:t xml:space="preserve">  </w:t>
      </w:r>
      <w:r>
        <w:rPr>
          <w:rFonts w:ascii="Arial" w:eastAsia="Arial" w:hAnsi="Arial"/>
          <w:b/>
          <w:bCs/>
          <w:color w:val="15512F"/>
          <w:sz w:val="20"/>
          <w:szCs w:val="20"/>
        </w:rPr>
        <w:t>A</w:t>
      </w:r>
      <w:r>
        <w:rPr>
          <w:rFonts w:ascii="Arial" w:eastAsia="Arial" w:hAnsi="Arial"/>
          <w:b/>
          <w:bCs/>
          <w:color w:val="15512F"/>
          <w:sz w:val="20"/>
          <w:szCs w:val="20"/>
          <w:rtl/>
        </w:rPr>
        <w:t>⁦</w:t>
      </w:r>
      <w:r>
        <w:rPr>
          <w:rFonts w:ascii="Arial" w:eastAsia="Arial" w:hAnsi="Arial"/>
          <w:b/>
          <w:bCs/>
          <w:color w:val="15512F"/>
          <w:sz w:val="20"/>
          <w:szCs w:val="20"/>
        </w:rPr>
        <w:t>5.2</w:t>
      </w:r>
      <w:r>
        <w:rPr>
          <w:rFonts w:ascii="Arial" w:eastAsia="Arial" w:hAnsi="Arial"/>
          <w:b/>
          <w:bCs/>
          <w:color w:val="15512F"/>
          <w:sz w:val="20"/>
          <w:szCs w:val="20"/>
          <w:rtl/>
        </w:rPr>
        <w:t>⁩</w:t>
      </w:r>
    </w:p>
    <w:p w14:paraId="1DE2B7CD" w14:textId="77777777" w:rsidR="00CD5946" w:rsidRDefault="00000000">
      <w:pPr>
        <w:spacing w:after="40" w:line="266" w:lineRule="auto"/>
        <w:ind w:left="300" w:hanging="300"/>
      </w:pPr>
      <w:r>
        <w:rPr>
          <w:rFonts w:ascii="Arial" w:eastAsia="Arial" w:hAnsi="Arial"/>
          <w:b/>
          <w:bCs/>
          <w:color w:val="15512F"/>
        </w:rPr>
        <w:t xml:space="preserve">A5.3  </w:t>
      </w:r>
      <w:r>
        <w:rPr>
          <w:rFonts w:ascii="Arial" w:eastAsia="Arial" w:hAnsi="Arial"/>
          <w:color w:val="1A1A1A"/>
        </w:rPr>
        <w:t>Where inactivation or removal of an organism is part of the process, measures shall be taken to avoid the risk of recontamination of treated products by untreated products. For products that are inactivated, the inactivation process shall be validated and a clear physical or temporal separation maintained between processing before and after inactivation. The chromatography and other purification media shall be controlled, with defined lifetimes and re-use, regeneration and storage validated.</w:t>
      </w:r>
    </w:p>
    <w:p w14:paraId="1DB20705" w14:textId="77777777" w:rsidR="00CD5946" w:rsidRDefault="00000000">
      <w:pPr>
        <w:bidi/>
        <w:spacing w:after="150" w:line="300" w:lineRule="auto"/>
        <w:ind w:right="300" w:hanging="300"/>
        <w:jc w:val="right"/>
      </w:pPr>
      <w:r>
        <w:rPr>
          <w:rFonts w:ascii="Arial" w:eastAsia="Arial" w:hAnsi="Arial"/>
          <w:color w:val="333333"/>
          <w:sz w:val="20"/>
          <w:szCs w:val="20"/>
          <w:rtl/>
        </w:rPr>
        <w:t>حيث يكون التعطيل أو الإزالة جزءاً من العملية تُتّخذ تدابير لتجنّب إعادة تلوث المنتجات المُعالَجة بالمنتجات غير المُعالَجة. وللمنتجات المُعطّلة تُتحقّق عملية التعطيل ويُحافَظ على فصل مكاني أو زمني واضح بين المعالجة قبل التعطيل وبعده. وتُضبط أوساط الفصل اللوني بأعمار محدّدة وتُتحقّق إعادة الاستخدام والتجديد والتخزين.</w:t>
      </w:r>
      <w:r>
        <w:rPr>
          <w:rFonts w:ascii="Arial" w:eastAsia="Arial" w:hAnsi="Arial"/>
          <w:b/>
          <w:bCs/>
          <w:color w:val="15512F"/>
          <w:sz w:val="20"/>
          <w:szCs w:val="20"/>
          <w:rtl/>
        </w:rPr>
        <w:t xml:space="preserve">  </w:t>
      </w:r>
      <w:r>
        <w:rPr>
          <w:rFonts w:ascii="Arial" w:eastAsia="Arial" w:hAnsi="Arial"/>
          <w:b/>
          <w:bCs/>
          <w:color w:val="15512F"/>
          <w:sz w:val="20"/>
          <w:szCs w:val="20"/>
        </w:rPr>
        <w:t>A</w:t>
      </w:r>
      <w:r>
        <w:rPr>
          <w:rFonts w:ascii="Arial" w:eastAsia="Arial" w:hAnsi="Arial"/>
          <w:b/>
          <w:bCs/>
          <w:color w:val="15512F"/>
          <w:sz w:val="20"/>
          <w:szCs w:val="20"/>
          <w:rtl/>
        </w:rPr>
        <w:t>⁦</w:t>
      </w:r>
      <w:r>
        <w:rPr>
          <w:rFonts w:ascii="Arial" w:eastAsia="Arial" w:hAnsi="Arial"/>
          <w:b/>
          <w:bCs/>
          <w:color w:val="15512F"/>
          <w:sz w:val="20"/>
          <w:szCs w:val="20"/>
        </w:rPr>
        <w:t>5.3</w:t>
      </w:r>
      <w:r>
        <w:rPr>
          <w:rFonts w:ascii="Arial" w:eastAsia="Arial" w:hAnsi="Arial"/>
          <w:b/>
          <w:bCs/>
          <w:color w:val="15512F"/>
          <w:sz w:val="20"/>
          <w:szCs w:val="20"/>
          <w:rtl/>
        </w:rPr>
        <w:t>⁩</w:t>
      </w:r>
    </w:p>
    <w:p w14:paraId="51C41299" w14:textId="77777777" w:rsidR="00CD5946" w:rsidRDefault="00000000">
      <w:pPr>
        <w:pStyle w:val="Heading2"/>
        <w:spacing w:before="220"/>
      </w:pPr>
      <w:bookmarkStart w:id="142" w:name="__RefHeading___Toc9441_1729075678"/>
      <w:bookmarkEnd w:id="142"/>
      <w:r>
        <w:t>Part A — 6.  Quality control and comparability</w:t>
      </w:r>
      <w:r>
        <w:rPr>
          <w:b w:val="0"/>
          <w:bCs w:val="0"/>
          <w:color w:val="1A1A1A"/>
          <w:sz w:val="21"/>
          <w:szCs w:val="21"/>
        </w:rPr>
        <w:t xml:space="preserve">   </w:t>
      </w:r>
      <w:r>
        <w:rPr>
          <w:color w:val="C8A24B"/>
          <w:sz w:val="20"/>
          <w:szCs w:val="20"/>
          <w:rtl/>
        </w:rPr>
        <w:t>الجزء أ — مراقبة الجودة والقابلية للمقارنة</w:t>
      </w:r>
    </w:p>
    <w:p w14:paraId="6A0A51DE" w14:textId="77777777" w:rsidR="00CD5946" w:rsidRDefault="00000000">
      <w:pPr>
        <w:spacing w:after="40" w:line="266" w:lineRule="auto"/>
        <w:ind w:left="300" w:hanging="300"/>
      </w:pPr>
      <w:r>
        <w:rPr>
          <w:rFonts w:ascii="Arial" w:eastAsia="Arial" w:hAnsi="Arial"/>
          <w:b/>
          <w:bCs/>
          <w:color w:val="15512F"/>
        </w:rPr>
        <w:t xml:space="preserve">A6.1  </w:t>
      </w:r>
      <w:r>
        <w:rPr>
          <w:rFonts w:ascii="Arial" w:eastAsia="Arial" w:hAnsi="Arial"/>
          <w:color w:val="1A1A1A"/>
        </w:rPr>
        <w:t>In-process controls have a greater importance in assuring the consistency of biological products than for conventional products. Specifications and tests (for identity, purity, potency, adventitious agents and, where relevant, the relevant physicochemical and biological characterisation per ICH Q6B) shall be established and justified. Reference standards/materials shall be established, characterised and maintained, and potency assays shall be calibrated against an appropriate national or international reference where available.</w:t>
      </w:r>
    </w:p>
    <w:p w14:paraId="28F3AD22"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تُعدّ الضوابط أثناء العملية أكثر أهمية لضمان تجانس المنتجات البيولوجية منها للمنتجات التقليدية. وتُوضع وتُبرّر المواصفات والاختبارات (الهوية والنقاء والفعالية والعوامل الدخيلة والتوصيف وفق </w:t>
      </w:r>
      <w:r>
        <w:rPr>
          <w:rFonts w:ascii="Arial" w:eastAsia="Arial" w:hAnsi="Arial"/>
          <w:color w:val="333333"/>
          <w:sz w:val="20"/>
          <w:szCs w:val="20"/>
        </w:rPr>
        <w:t>ICH Q</w:t>
      </w:r>
      <w:r>
        <w:rPr>
          <w:rFonts w:ascii="Arial" w:eastAsia="Arial" w:hAnsi="Arial"/>
          <w:color w:val="333333"/>
          <w:sz w:val="20"/>
          <w:szCs w:val="20"/>
          <w:rtl/>
        </w:rPr>
        <w:t>⁦</w:t>
      </w:r>
      <w:r>
        <w:rPr>
          <w:rFonts w:ascii="Arial" w:eastAsia="Arial" w:hAnsi="Arial"/>
          <w:color w:val="333333"/>
          <w:sz w:val="20"/>
          <w:szCs w:val="20"/>
        </w:rPr>
        <w:t>6B</w:t>
      </w:r>
      <w:r>
        <w:rPr>
          <w:rFonts w:ascii="Arial" w:eastAsia="Arial" w:hAnsi="Arial"/>
          <w:color w:val="333333"/>
          <w:sz w:val="20"/>
          <w:szCs w:val="20"/>
          <w:rtl/>
        </w:rPr>
        <w:t>⁩). وتُنشأ المعايير المرجعية وتُوصّف وتُصان، وتُعايَر مقاييس الفعالية مقابل مرجع وطني أو دولي مناسب عند توافره.</w:t>
      </w:r>
      <w:r>
        <w:rPr>
          <w:rFonts w:ascii="Arial" w:eastAsia="Arial" w:hAnsi="Arial"/>
          <w:b/>
          <w:bCs/>
          <w:color w:val="15512F"/>
          <w:sz w:val="20"/>
          <w:szCs w:val="20"/>
          <w:rtl/>
        </w:rPr>
        <w:t xml:space="preserve">  </w:t>
      </w:r>
      <w:r>
        <w:rPr>
          <w:rFonts w:ascii="Arial" w:eastAsia="Arial" w:hAnsi="Arial"/>
          <w:b/>
          <w:bCs/>
          <w:color w:val="15512F"/>
          <w:sz w:val="20"/>
          <w:szCs w:val="20"/>
        </w:rPr>
        <w:t>A</w:t>
      </w:r>
      <w:r>
        <w:rPr>
          <w:rFonts w:ascii="Arial" w:eastAsia="Arial" w:hAnsi="Arial"/>
          <w:b/>
          <w:bCs/>
          <w:color w:val="15512F"/>
          <w:sz w:val="20"/>
          <w:szCs w:val="20"/>
          <w:rtl/>
        </w:rPr>
        <w:t>⁦</w:t>
      </w:r>
      <w:r>
        <w:rPr>
          <w:rFonts w:ascii="Arial" w:eastAsia="Arial" w:hAnsi="Arial"/>
          <w:b/>
          <w:bCs/>
          <w:color w:val="15512F"/>
          <w:sz w:val="20"/>
          <w:szCs w:val="20"/>
        </w:rPr>
        <w:t>6.1</w:t>
      </w:r>
      <w:r>
        <w:rPr>
          <w:rFonts w:ascii="Arial" w:eastAsia="Arial" w:hAnsi="Arial"/>
          <w:b/>
          <w:bCs/>
          <w:color w:val="15512F"/>
          <w:sz w:val="20"/>
          <w:szCs w:val="20"/>
          <w:rtl/>
        </w:rPr>
        <w:t>⁩</w:t>
      </w:r>
    </w:p>
    <w:p w14:paraId="2745B204" w14:textId="77777777" w:rsidR="00CD5946" w:rsidRDefault="00000000">
      <w:pPr>
        <w:spacing w:after="40" w:line="266" w:lineRule="auto"/>
        <w:ind w:left="300" w:hanging="300"/>
      </w:pPr>
      <w:r>
        <w:rPr>
          <w:rFonts w:ascii="Arial" w:eastAsia="Arial" w:hAnsi="Arial"/>
          <w:b/>
          <w:bCs/>
          <w:color w:val="15512F"/>
        </w:rPr>
        <w:t xml:space="preserve">A6.2  </w:t>
      </w:r>
      <w:r>
        <w:rPr>
          <w:rFonts w:ascii="Arial" w:eastAsia="Arial" w:hAnsi="Arial"/>
          <w:color w:val="1A1A1A"/>
        </w:rPr>
        <w:t>Where a change is made to the manufacturing process, the comparability of the product before and after the change shall be demonstrated in accordance with ICH Q5E, using a risk-based combination of quality (analytical), and where necessary non-clinical and clinical, data. The conclusion of the comparability exercise, and any consequential changes to the control strategy, shall be documented and, where required, submitted to the authority before implementation.</w:t>
      </w:r>
    </w:p>
    <w:p w14:paraId="37CB13ED"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عند إجراء تغيير على العملية تُثبت القابلية للمقارنة قبل التغيير وبعده وفق </w:t>
      </w:r>
      <w:r>
        <w:rPr>
          <w:rFonts w:ascii="Arial" w:eastAsia="Arial" w:hAnsi="Arial"/>
          <w:color w:val="333333"/>
          <w:sz w:val="20"/>
          <w:szCs w:val="20"/>
        </w:rPr>
        <w:t>ICH Q</w:t>
      </w:r>
      <w:r>
        <w:rPr>
          <w:rFonts w:ascii="Arial" w:eastAsia="Arial" w:hAnsi="Arial"/>
          <w:color w:val="333333"/>
          <w:sz w:val="20"/>
          <w:szCs w:val="20"/>
          <w:rtl/>
        </w:rPr>
        <w:t>⁦</w:t>
      </w:r>
      <w:r>
        <w:rPr>
          <w:rFonts w:ascii="Arial" w:eastAsia="Arial" w:hAnsi="Arial"/>
          <w:color w:val="333333"/>
          <w:sz w:val="20"/>
          <w:szCs w:val="20"/>
        </w:rPr>
        <w:t>5E</w:t>
      </w:r>
      <w:r>
        <w:rPr>
          <w:rFonts w:ascii="Arial" w:eastAsia="Arial" w:hAnsi="Arial"/>
          <w:color w:val="333333"/>
          <w:sz w:val="20"/>
          <w:szCs w:val="20"/>
          <w:rtl/>
        </w:rPr>
        <w:t>⁩، بمزيج قائم على المخاطر من بيانات الجودة (التحليلية)، وعند الاقتضاء غير السريرية والسريرية. وتُوثّق نتيجة المقارنة وأيّ تغيير في استراتيجية الضبط، وتُقدّم للسلطة عند اللزوم قبل التنفيذ.</w:t>
      </w:r>
      <w:r>
        <w:rPr>
          <w:rFonts w:ascii="Arial" w:eastAsia="Arial" w:hAnsi="Arial"/>
          <w:b/>
          <w:bCs/>
          <w:color w:val="15512F"/>
          <w:sz w:val="20"/>
          <w:szCs w:val="20"/>
          <w:rtl/>
        </w:rPr>
        <w:t xml:space="preserve">  </w:t>
      </w:r>
      <w:r>
        <w:rPr>
          <w:rFonts w:ascii="Arial" w:eastAsia="Arial" w:hAnsi="Arial"/>
          <w:b/>
          <w:bCs/>
          <w:color w:val="15512F"/>
          <w:sz w:val="20"/>
          <w:szCs w:val="20"/>
        </w:rPr>
        <w:t>A</w:t>
      </w:r>
      <w:r>
        <w:rPr>
          <w:rFonts w:ascii="Arial" w:eastAsia="Arial" w:hAnsi="Arial"/>
          <w:b/>
          <w:bCs/>
          <w:color w:val="15512F"/>
          <w:sz w:val="20"/>
          <w:szCs w:val="20"/>
          <w:rtl/>
        </w:rPr>
        <w:t>⁦</w:t>
      </w:r>
      <w:r>
        <w:rPr>
          <w:rFonts w:ascii="Arial" w:eastAsia="Arial" w:hAnsi="Arial"/>
          <w:b/>
          <w:bCs/>
          <w:color w:val="15512F"/>
          <w:sz w:val="20"/>
          <w:szCs w:val="20"/>
        </w:rPr>
        <w:t>6.2</w:t>
      </w:r>
      <w:r>
        <w:rPr>
          <w:rFonts w:ascii="Arial" w:eastAsia="Arial" w:hAnsi="Arial"/>
          <w:b/>
          <w:bCs/>
          <w:color w:val="15512F"/>
          <w:sz w:val="20"/>
          <w:szCs w:val="20"/>
          <w:rtl/>
        </w:rPr>
        <w:t>⁩</w:t>
      </w:r>
    </w:p>
    <w:p w14:paraId="04C84816" w14:textId="77777777" w:rsidR="00CD5946" w:rsidRDefault="00000000">
      <w:pPr>
        <w:pBdr>
          <w:left w:val="single" w:sz="6" w:space="8" w:color="CFCFCF"/>
        </w:pBdr>
        <w:spacing w:after="30"/>
        <w:ind w:left="300"/>
      </w:pPr>
      <w:r>
        <w:rPr>
          <w:rFonts w:ascii="Arial" w:eastAsia="Arial" w:hAnsi="Arial"/>
          <w:b/>
          <w:bCs/>
          <w:color w:val="5A5A5A"/>
          <w:sz w:val="18"/>
          <w:szCs w:val="18"/>
        </w:rPr>
        <w:lastRenderedPageBreak/>
        <w:t xml:space="preserve">Note.  </w:t>
      </w:r>
      <w:r>
        <w:rPr>
          <w:rFonts w:ascii="Arial" w:eastAsia="Arial" w:hAnsi="Arial"/>
          <w:i/>
          <w:iCs/>
          <w:color w:val="5A5A5A"/>
          <w:sz w:val="18"/>
          <w:szCs w:val="18"/>
        </w:rPr>
        <w:t>Comparability (ICH Q5E) is the same scientific principle that underpins biosimilar development: a stepwise, risk-based demonstration that two versions of a product are highly similar and that any differences have no adverse impact on quality, safety or efficacy. The biosimilar case is addressed in the Arab Annex A-BIO.</w:t>
      </w:r>
    </w:p>
    <w:p w14:paraId="1282376E" w14:textId="77777777" w:rsidR="00CD5946" w:rsidRDefault="00000000">
      <w:pPr>
        <w:bidi/>
        <w:spacing w:after="140"/>
        <w:ind w:right="300"/>
        <w:jc w:val="right"/>
      </w:pPr>
      <w:r>
        <w:rPr>
          <w:rFonts w:ascii="Arial" w:eastAsia="Arial" w:hAnsi="Arial"/>
          <w:color w:val="5A5A5A"/>
          <w:sz w:val="18"/>
          <w:szCs w:val="18"/>
          <w:rtl/>
        </w:rPr>
        <w:t>القابلية للمقارنة (</w:t>
      </w:r>
      <w:r>
        <w:rPr>
          <w:rFonts w:ascii="Arial" w:eastAsia="Arial" w:hAnsi="Arial"/>
          <w:color w:val="5A5A5A"/>
          <w:sz w:val="18"/>
          <w:szCs w:val="18"/>
        </w:rPr>
        <w:t>ICH Q</w:t>
      </w:r>
      <w:r>
        <w:rPr>
          <w:rFonts w:ascii="Arial" w:eastAsia="Arial" w:hAnsi="Arial"/>
          <w:color w:val="5A5A5A"/>
          <w:sz w:val="18"/>
          <w:szCs w:val="18"/>
          <w:rtl/>
        </w:rPr>
        <w:t>⁦</w:t>
      </w:r>
      <w:r>
        <w:rPr>
          <w:rFonts w:ascii="Arial" w:eastAsia="Arial" w:hAnsi="Arial"/>
          <w:color w:val="5A5A5A"/>
          <w:sz w:val="18"/>
          <w:szCs w:val="18"/>
        </w:rPr>
        <w:t>5E</w:t>
      </w:r>
      <w:r>
        <w:rPr>
          <w:rFonts w:ascii="Arial" w:eastAsia="Arial" w:hAnsi="Arial"/>
          <w:color w:val="5A5A5A"/>
          <w:sz w:val="18"/>
          <w:szCs w:val="18"/>
          <w:rtl/>
        </w:rPr>
        <w:t xml:space="preserve">⁩) هي المبدأ العلمي نفسه الذي يستند إليه تطوير المثيل الحيوي: برهان تدريجي قائم على المخاطر على أنّ نسختين متشابهتان بدرجة عالية وأنّ الفروق لا تؤثّر سلباً. وتُعالَج حالة المثيل الحيوي في الملحق العربي </w:t>
      </w:r>
      <w:r>
        <w:rPr>
          <w:rFonts w:ascii="Arial" w:eastAsia="Arial" w:hAnsi="Arial"/>
          <w:color w:val="5A5A5A"/>
          <w:sz w:val="18"/>
          <w:szCs w:val="18"/>
        </w:rPr>
        <w:t>A-BIO</w:t>
      </w:r>
      <w:r>
        <w:rPr>
          <w:rFonts w:ascii="Arial" w:eastAsia="Arial" w:hAnsi="Arial"/>
          <w:color w:val="5A5A5A"/>
          <w:sz w:val="18"/>
          <w:szCs w:val="18"/>
          <w:rtl/>
        </w:rPr>
        <w:t>.</w:t>
      </w:r>
      <w:r>
        <w:rPr>
          <w:rFonts w:ascii="Arial" w:eastAsia="Arial" w:hAnsi="Arial"/>
          <w:b/>
          <w:bCs/>
          <w:color w:val="5A5A5A"/>
          <w:sz w:val="18"/>
          <w:szCs w:val="18"/>
          <w:rtl/>
        </w:rPr>
        <w:t xml:space="preserve">  ملاحظة.</w:t>
      </w:r>
    </w:p>
    <w:p w14:paraId="28953CB9" w14:textId="77777777" w:rsidR="00CD5946" w:rsidRDefault="00000000">
      <w:pPr>
        <w:pStyle w:val="Heading2"/>
        <w:spacing w:before="220"/>
      </w:pPr>
      <w:bookmarkStart w:id="143" w:name="__RefHeading___Toc9443_1729075678"/>
      <w:bookmarkEnd w:id="143"/>
      <w:r>
        <w:t>Part B — 7.  Specific guidance on selected product types</w:t>
      </w:r>
      <w:r>
        <w:rPr>
          <w:b w:val="0"/>
          <w:bCs w:val="0"/>
          <w:color w:val="1A1A1A"/>
          <w:sz w:val="21"/>
          <w:szCs w:val="21"/>
        </w:rPr>
        <w:t xml:space="preserve">   </w:t>
      </w:r>
      <w:r>
        <w:rPr>
          <w:color w:val="C8A24B"/>
          <w:sz w:val="20"/>
          <w:szCs w:val="20"/>
          <w:rtl/>
        </w:rPr>
        <w:t>الجزء ب — إرشاد محدّد لأنواع مختارة</w:t>
      </w:r>
    </w:p>
    <w:p w14:paraId="00473CCF" w14:textId="77777777" w:rsidR="00CD5946" w:rsidRDefault="00000000">
      <w:pPr>
        <w:spacing w:after="40" w:line="266" w:lineRule="auto"/>
        <w:ind w:left="300" w:hanging="300"/>
      </w:pPr>
      <w:r>
        <w:rPr>
          <w:rFonts w:ascii="Arial" w:eastAsia="Arial" w:hAnsi="Arial"/>
          <w:b/>
          <w:bCs/>
          <w:color w:val="15512F"/>
        </w:rPr>
        <w:t xml:space="preserve">B7.1  </w:t>
      </w:r>
      <w:r>
        <w:rPr>
          <w:rFonts w:ascii="Arial" w:eastAsia="Arial" w:hAnsi="Arial"/>
          <w:color w:val="1A1A1A"/>
        </w:rPr>
        <w:t>Products of recombinant DNA technology and monoclonal antibodies: the genetic stability of the production cell line shall be demonstrated; expression construct, host-cell characterisation and the limit of in-vitro cell age shall be defined. Purification shall consistently remove process- and product-related impurities (host-cell protein and DNA, endotoxin, leached protein-A and aggregates) to within justified limits, and viral safety shall be assured per ICH Q5A.</w:t>
      </w:r>
    </w:p>
    <w:p w14:paraId="47F47C22"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منتجات الدنا المُعاد اتحاده والأجسام وحيدة النسيلة: يُثبت الاستقرار الجيني لخطّ الخلايا؛ وتُحدّد بنية التعبير وتوصيف الخلية المضيفة وحدّ عمر الخلايا. وتُزيل التنقية باستمرار الشوائب المتصلة بالعملية والمنتج (بروتين ودنا الخلية المضيفة والذيفان وبروتين </w:t>
      </w:r>
      <w:r>
        <w:rPr>
          <w:rFonts w:ascii="Arial" w:eastAsia="Arial" w:hAnsi="Arial"/>
          <w:color w:val="333333"/>
          <w:sz w:val="20"/>
          <w:szCs w:val="20"/>
        </w:rPr>
        <w:t>A</w:t>
      </w:r>
      <w:r>
        <w:rPr>
          <w:rFonts w:ascii="Arial" w:eastAsia="Arial" w:hAnsi="Arial"/>
          <w:color w:val="333333"/>
          <w:sz w:val="20"/>
          <w:szCs w:val="20"/>
          <w:rtl/>
        </w:rPr>
        <w:t xml:space="preserve"> المنسلّ والتجمّعات) إلى حدود مُبرّرة، وتُضمن السلامة الفيروسية وفق </w:t>
      </w:r>
      <w:r>
        <w:rPr>
          <w:rFonts w:ascii="Arial" w:eastAsia="Arial" w:hAnsi="Arial"/>
          <w:color w:val="333333"/>
          <w:sz w:val="20"/>
          <w:szCs w:val="20"/>
        </w:rPr>
        <w:t>ICH Q⁦5A.⁩</w:t>
      </w:r>
      <w:r>
        <w:rPr>
          <w:rFonts w:ascii="Arial" w:eastAsia="Arial" w:hAnsi="Arial"/>
          <w:b/>
          <w:bCs/>
          <w:color w:val="15512F"/>
          <w:sz w:val="20"/>
          <w:szCs w:val="20"/>
        </w:rPr>
        <w:t xml:space="preserve">  B</w:t>
      </w:r>
      <w:r>
        <w:rPr>
          <w:rFonts w:ascii="Arial" w:eastAsia="Arial" w:hAnsi="Arial"/>
          <w:b/>
          <w:bCs/>
          <w:color w:val="15512F"/>
          <w:sz w:val="20"/>
          <w:szCs w:val="20"/>
          <w:rtl/>
        </w:rPr>
        <w:t>⁦</w:t>
      </w:r>
      <w:r>
        <w:rPr>
          <w:rFonts w:ascii="Arial" w:eastAsia="Arial" w:hAnsi="Arial"/>
          <w:b/>
          <w:bCs/>
          <w:color w:val="15512F"/>
          <w:sz w:val="20"/>
          <w:szCs w:val="20"/>
        </w:rPr>
        <w:t>7.1</w:t>
      </w:r>
      <w:r>
        <w:rPr>
          <w:rFonts w:ascii="Arial" w:eastAsia="Arial" w:hAnsi="Arial"/>
          <w:b/>
          <w:bCs/>
          <w:color w:val="15512F"/>
          <w:sz w:val="20"/>
          <w:szCs w:val="20"/>
          <w:rtl/>
        </w:rPr>
        <w:t>⁩</w:t>
      </w:r>
    </w:p>
    <w:p w14:paraId="094B0145" w14:textId="77777777" w:rsidR="00CD5946" w:rsidRDefault="00000000">
      <w:pPr>
        <w:spacing w:after="40" w:line="266" w:lineRule="auto"/>
        <w:ind w:left="300" w:hanging="300"/>
      </w:pPr>
      <w:r>
        <w:rPr>
          <w:rFonts w:ascii="Arial" w:eastAsia="Arial" w:hAnsi="Arial"/>
          <w:b/>
          <w:bCs/>
          <w:color w:val="15512F"/>
        </w:rPr>
        <w:t xml:space="preserve">B7.2  </w:t>
      </w:r>
      <w:r>
        <w:rPr>
          <w:rFonts w:ascii="Arial" w:eastAsia="Arial" w:hAnsi="Arial"/>
          <w:color w:val="1A1A1A"/>
        </w:rPr>
        <w:t>Vaccines and immunological products: special attention shall be paid to the segregation of live and inactivated organisms, the validation of inactivation/detoxification, adjuvant control, and the prevention of cross-contamination between strains; eggs, where used, shall come from controlled, healthy flocks. Allergen products shall control the source material and standardise potency.</w:t>
      </w:r>
    </w:p>
    <w:p w14:paraId="1D7C588F" w14:textId="77777777" w:rsidR="00CD5946" w:rsidRDefault="00000000">
      <w:pPr>
        <w:bidi/>
        <w:spacing w:after="150" w:line="300" w:lineRule="auto"/>
        <w:ind w:right="300" w:hanging="300"/>
        <w:jc w:val="right"/>
      </w:pPr>
      <w:r>
        <w:rPr>
          <w:rFonts w:ascii="Arial" w:eastAsia="Arial" w:hAnsi="Arial"/>
          <w:color w:val="333333"/>
          <w:sz w:val="20"/>
          <w:szCs w:val="20"/>
          <w:rtl/>
        </w:rPr>
        <w:t>اللقاحات والمنتجات المناعية: يُولى اهتمام خاص لعزل الكائنات الحيّة والمُعطّلة، والتحقّق من التعطيل/إزالة السميّة، وضبط المساعدات، ومنع التلوث بين السلالات؛ وتأتي البيوض عند استخدامها من قطعان سليمة مضبوطة. وتُضبط منتجات الحساسية من حيث المصدر وتُوحّد فعاليتها.</w:t>
      </w:r>
      <w:r>
        <w:rPr>
          <w:rFonts w:ascii="Arial" w:eastAsia="Arial" w:hAnsi="Arial"/>
          <w:b/>
          <w:bCs/>
          <w:color w:val="15512F"/>
          <w:sz w:val="20"/>
          <w:szCs w:val="20"/>
          <w:rtl/>
        </w:rPr>
        <w:t xml:space="preserve">  </w:t>
      </w:r>
      <w:r>
        <w:rPr>
          <w:rFonts w:ascii="Arial" w:eastAsia="Arial" w:hAnsi="Arial"/>
          <w:b/>
          <w:bCs/>
          <w:color w:val="15512F"/>
          <w:sz w:val="20"/>
          <w:szCs w:val="20"/>
        </w:rPr>
        <w:t>B</w:t>
      </w:r>
      <w:r>
        <w:rPr>
          <w:rFonts w:ascii="Arial" w:eastAsia="Arial" w:hAnsi="Arial"/>
          <w:b/>
          <w:bCs/>
          <w:color w:val="15512F"/>
          <w:sz w:val="20"/>
          <w:szCs w:val="20"/>
          <w:rtl/>
        </w:rPr>
        <w:t>⁦</w:t>
      </w:r>
      <w:r>
        <w:rPr>
          <w:rFonts w:ascii="Arial" w:eastAsia="Arial" w:hAnsi="Arial"/>
          <w:b/>
          <w:bCs/>
          <w:color w:val="15512F"/>
          <w:sz w:val="20"/>
          <w:szCs w:val="20"/>
        </w:rPr>
        <w:t>7.2</w:t>
      </w:r>
      <w:r>
        <w:rPr>
          <w:rFonts w:ascii="Arial" w:eastAsia="Arial" w:hAnsi="Arial"/>
          <w:b/>
          <w:bCs/>
          <w:color w:val="15512F"/>
          <w:sz w:val="20"/>
          <w:szCs w:val="20"/>
          <w:rtl/>
        </w:rPr>
        <w:t>⁩</w:t>
      </w:r>
    </w:p>
    <w:p w14:paraId="465E2B08" w14:textId="77777777" w:rsidR="00CD5946" w:rsidRDefault="00000000">
      <w:pPr>
        <w:spacing w:after="40" w:line="266" w:lineRule="auto"/>
        <w:ind w:left="300" w:hanging="300"/>
      </w:pPr>
      <w:r>
        <w:rPr>
          <w:rFonts w:ascii="Arial" w:eastAsia="Arial" w:hAnsi="Arial"/>
          <w:b/>
          <w:bCs/>
          <w:color w:val="15512F"/>
        </w:rPr>
        <w:t xml:space="preserve">B7.3  </w:t>
      </w:r>
      <w:r>
        <w:rPr>
          <w:rFonts w:ascii="Arial" w:eastAsia="Arial" w:hAnsi="Arial"/>
          <w:color w:val="1A1A1A"/>
        </w:rPr>
        <w:t>Advanced therapy medicinal products (gene therapy, somatic cell therapy and tissue-engineered products) are outside the scope of this Annex and of this edition (§1.4.1): their manufacture shall follow PIC/S PE 009-17 Annex 2A and the EU GMP Part IV guideline, applied by reference, until a dedicated Arab ATMP annex is issued. Where ATMP-adjacent principles arise within this Annex's scope (e.g. cell banking), the donor-eligibility, chain-of-identity/chain-of-custody, “vein-to-vein” traceability and aseptic-processing expectations of those texts inform the controls applied.</w:t>
      </w:r>
    </w:p>
    <w:p w14:paraId="25A5BDE1" w14:textId="77777777" w:rsidR="00CD5946" w:rsidRDefault="00000000">
      <w:pPr>
        <w:bidi/>
        <w:spacing w:after="150" w:line="300" w:lineRule="auto"/>
        <w:ind w:right="300" w:hanging="300"/>
        <w:jc w:val="right"/>
      </w:pPr>
      <w:r>
        <w:rPr>
          <w:rFonts w:ascii="Arial" w:eastAsia="Arial" w:hAnsi="Arial"/>
          <w:color w:val="333333"/>
          <w:sz w:val="20"/>
          <w:szCs w:val="20"/>
          <w:rtl/>
        </w:rPr>
        <w:t>منتجات العلاج المتقدّم (الجيني والخلوي والأنسجة) خارج نطاق هذا الملحق وهذا الإصدار (البند 1.4.1)؛ ويسري على تصنيعها بالإحالة الملحق ⁦2⁩أ من دليل ⁦PIC/S⁩ والجزء الرابع الأوروبي حتى صدور ملحق عربي مخصّص. وحيثما تلامس مبادئها نطاق هذا الملحق (كبنوك الخلايا) يُسترشد بتوقّعات أهلية المتبرّع وسلسلة الهوية والتتبّع الكامل والمعالجة العقيمة الواردة فيهما.</w:t>
      </w:r>
      <w:r>
        <w:rPr>
          <w:rFonts w:ascii="Arial" w:eastAsia="Arial" w:hAnsi="Arial"/>
          <w:b/>
          <w:bCs/>
          <w:color w:val="15512F"/>
          <w:sz w:val="20"/>
          <w:szCs w:val="20"/>
          <w:rtl/>
        </w:rPr>
        <w:t xml:space="preserve">  </w:t>
      </w:r>
      <w:r>
        <w:rPr>
          <w:rFonts w:ascii="Arial" w:eastAsia="Arial" w:hAnsi="Arial"/>
          <w:b/>
          <w:bCs/>
          <w:color w:val="15512F"/>
          <w:sz w:val="20"/>
          <w:szCs w:val="20"/>
        </w:rPr>
        <w:t>B</w:t>
      </w:r>
      <w:r>
        <w:rPr>
          <w:rFonts w:ascii="Arial" w:eastAsia="Arial" w:hAnsi="Arial"/>
          <w:b/>
          <w:bCs/>
          <w:color w:val="15512F"/>
          <w:sz w:val="20"/>
          <w:szCs w:val="20"/>
          <w:rtl/>
        </w:rPr>
        <w:t>⁦</w:t>
      </w:r>
      <w:r>
        <w:rPr>
          <w:rFonts w:ascii="Arial" w:eastAsia="Arial" w:hAnsi="Arial"/>
          <w:b/>
          <w:bCs/>
          <w:color w:val="15512F"/>
          <w:sz w:val="20"/>
          <w:szCs w:val="20"/>
        </w:rPr>
        <w:t>7.3</w:t>
      </w:r>
      <w:r>
        <w:rPr>
          <w:rFonts w:ascii="Arial" w:eastAsia="Arial" w:hAnsi="Arial"/>
          <w:b/>
          <w:bCs/>
          <w:color w:val="15512F"/>
          <w:sz w:val="20"/>
          <w:szCs w:val="20"/>
          <w:rtl/>
        </w:rPr>
        <w:t>⁩</w:t>
      </w:r>
    </w:p>
    <w:p w14:paraId="627230C3" w14:textId="77777777" w:rsidR="00CD5946" w:rsidRDefault="00000000">
      <w:pPr>
        <w:spacing w:after="40" w:line="266" w:lineRule="auto"/>
        <w:ind w:left="300" w:hanging="300"/>
      </w:pPr>
      <w:r>
        <w:rPr>
          <w:rFonts w:ascii="Arial" w:eastAsia="Arial" w:hAnsi="Arial"/>
          <w:b/>
          <w:bCs/>
          <w:color w:val="15512F"/>
        </w:rPr>
        <w:t xml:space="preserve">B7.4  </w:t>
      </w:r>
      <w:r>
        <w:rPr>
          <w:rFonts w:ascii="Arial" w:eastAsia="Arial" w:hAnsi="Arial"/>
          <w:color w:val="1A1A1A"/>
        </w:rPr>
        <w:t>Products derived from human blood or plasma: the collection, testing, processing, storage and distribution shall comply with the requirements for blood establishments and the relevant guidance; donor selection and screening, the plasma master file, the validated removal/inactivation of blood-borne viruses, and full traceability from donor to recipient and back shall be assured.</w:t>
      </w:r>
    </w:p>
    <w:p w14:paraId="51C58261" w14:textId="77777777" w:rsidR="00CD5946" w:rsidRDefault="00000000">
      <w:pPr>
        <w:bidi/>
        <w:spacing w:after="150" w:line="300" w:lineRule="auto"/>
        <w:ind w:right="300" w:hanging="300"/>
        <w:jc w:val="right"/>
      </w:pPr>
      <w:r>
        <w:rPr>
          <w:rFonts w:ascii="Arial" w:eastAsia="Arial" w:hAnsi="Arial"/>
          <w:color w:val="333333"/>
          <w:sz w:val="20"/>
          <w:szCs w:val="20"/>
          <w:rtl/>
        </w:rPr>
        <w:t>مشتقّات الدم أو البلازما البشرية: يلتزم الجمع والاختبار والمعالجة والتخزين والتوزيع بمتطلبات منشآت الدم والإرشادات ذات الصلة؛ وتُضمن انتقاء المتبرّعين وفحصهم، وملف البلازما الرئيسي، والإزالة/التعطيل المُتحقّق للفيروسات، والتتبّع الكامل من المتبرّع إلى المتلقّي.</w:t>
      </w:r>
      <w:r>
        <w:rPr>
          <w:rFonts w:ascii="Arial" w:eastAsia="Arial" w:hAnsi="Arial"/>
          <w:b/>
          <w:bCs/>
          <w:color w:val="15512F"/>
          <w:sz w:val="20"/>
          <w:szCs w:val="20"/>
          <w:rtl/>
        </w:rPr>
        <w:t xml:space="preserve">  </w:t>
      </w:r>
      <w:r>
        <w:rPr>
          <w:rFonts w:ascii="Arial" w:eastAsia="Arial" w:hAnsi="Arial"/>
          <w:b/>
          <w:bCs/>
          <w:color w:val="15512F"/>
          <w:sz w:val="20"/>
          <w:szCs w:val="20"/>
        </w:rPr>
        <w:t>B</w:t>
      </w:r>
      <w:r>
        <w:rPr>
          <w:rFonts w:ascii="Arial" w:eastAsia="Arial" w:hAnsi="Arial"/>
          <w:b/>
          <w:bCs/>
          <w:color w:val="15512F"/>
          <w:sz w:val="20"/>
          <w:szCs w:val="20"/>
          <w:rtl/>
        </w:rPr>
        <w:t>⁦</w:t>
      </w:r>
      <w:r>
        <w:rPr>
          <w:rFonts w:ascii="Arial" w:eastAsia="Arial" w:hAnsi="Arial"/>
          <w:b/>
          <w:bCs/>
          <w:color w:val="15512F"/>
          <w:sz w:val="20"/>
          <w:szCs w:val="20"/>
        </w:rPr>
        <w:t>7.4</w:t>
      </w:r>
      <w:r>
        <w:rPr>
          <w:rFonts w:ascii="Arial" w:eastAsia="Arial" w:hAnsi="Arial"/>
          <w:b/>
          <w:bCs/>
          <w:color w:val="15512F"/>
          <w:sz w:val="20"/>
          <w:szCs w:val="20"/>
          <w:rtl/>
        </w:rPr>
        <w:t>⁩</w:t>
      </w:r>
    </w:p>
    <w:p w14:paraId="21279F67" w14:textId="77777777" w:rsidR="00CD5946" w:rsidRDefault="00000000">
      <w:pPr>
        <w:pStyle w:val="Heading2"/>
        <w:spacing w:before="220"/>
      </w:pPr>
      <w:bookmarkStart w:id="144" w:name="__RefHeading___Toc9445_1729075678"/>
      <w:bookmarkEnd w:id="144"/>
      <w:r>
        <w:t>8.  Glossary (Annex 2B)</w:t>
      </w:r>
      <w:r>
        <w:rPr>
          <w:b w:val="0"/>
          <w:bCs w:val="0"/>
          <w:color w:val="1A1A1A"/>
          <w:sz w:val="21"/>
          <w:szCs w:val="21"/>
        </w:rPr>
        <w:t xml:space="preserve">   </w:t>
      </w:r>
      <w:r>
        <w:rPr>
          <w:color w:val="C8A24B"/>
          <w:sz w:val="20"/>
          <w:szCs w:val="20"/>
          <w:rtl/>
        </w:rPr>
        <w:t>مسرد الملحق ⁦</w:t>
      </w:r>
      <w:r>
        <w:rPr>
          <w:color w:val="C8A24B"/>
          <w:sz w:val="20"/>
          <w:szCs w:val="20"/>
        </w:rPr>
        <w:t>2</w:t>
      </w:r>
      <w:r>
        <w:rPr>
          <w:color w:val="C8A24B"/>
          <w:sz w:val="20"/>
          <w:szCs w:val="20"/>
          <w:rtl/>
        </w:rPr>
        <w:t>⁩أ</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700"/>
        <w:gridCol w:w="6660"/>
      </w:tblGrid>
      <w:tr w:rsidR="00CD5946" w14:paraId="3C64A347" w14:textId="77777777">
        <w:trPr>
          <w:tblHeader/>
        </w:trPr>
        <w:tc>
          <w:tcPr>
            <w:tcW w:w="2700" w:type="dxa"/>
            <w:tcBorders>
              <w:top w:val="single" w:sz="2" w:space="0" w:color="BFC9C0"/>
              <w:left w:val="single" w:sz="2" w:space="0" w:color="BFC9C0"/>
              <w:bottom w:val="single" w:sz="2" w:space="0" w:color="BFC9C0"/>
              <w:right w:val="single" w:sz="2" w:space="0" w:color="BFC9C0"/>
            </w:tcBorders>
            <w:shd w:val="clear" w:color="auto" w:fill="0E5A50"/>
          </w:tcPr>
          <w:p w14:paraId="081AF5EF" w14:textId="77777777" w:rsidR="00CD5946" w:rsidRDefault="00000000">
            <w:pPr>
              <w:spacing w:after="0"/>
            </w:pPr>
            <w:r>
              <w:rPr>
                <w:rFonts w:ascii="Arial" w:eastAsia="Arial" w:hAnsi="Arial"/>
                <w:b/>
                <w:bCs/>
                <w:color w:val="FFFFFF"/>
                <w:sz w:val="18"/>
                <w:szCs w:val="18"/>
              </w:rPr>
              <w:t xml:space="preserve">Term / </w:t>
            </w:r>
            <w:r>
              <w:rPr>
                <w:rFonts w:ascii="Arial" w:eastAsia="Arial" w:hAnsi="Arial"/>
                <w:b/>
                <w:bCs/>
                <w:color w:val="FFFFFF"/>
                <w:sz w:val="18"/>
                <w:szCs w:val="18"/>
                <w:rtl/>
              </w:rPr>
              <w:t>المصطلح</w:t>
            </w:r>
          </w:p>
        </w:tc>
        <w:tc>
          <w:tcPr>
            <w:tcW w:w="6660" w:type="dxa"/>
            <w:tcBorders>
              <w:top w:val="single" w:sz="2" w:space="0" w:color="BFC9C0"/>
              <w:left w:val="single" w:sz="2" w:space="0" w:color="BFC9C0"/>
              <w:bottom w:val="single" w:sz="2" w:space="0" w:color="BFC9C0"/>
              <w:right w:val="single" w:sz="2" w:space="0" w:color="BFC9C0"/>
            </w:tcBorders>
            <w:shd w:val="clear" w:color="auto" w:fill="0E5A50"/>
          </w:tcPr>
          <w:p w14:paraId="0D597831" w14:textId="77777777" w:rsidR="00CD5946" w:rsidRDefault="00000000">
            <w:pPr>
              <w:spacing w:after="0"/>
            </w:pPr>
            <w:r>
              <w:rPr>
                <w:rFonts w:ascii="Arial" w:eastAsia="Arial" w:hAnsi="Arial"/>
                <w:b/>
                <w:bCs/>
                <w:color w:val="FFFFFF"/>
                <w:sz w:val="18"/>
                <w:szCs w:val="18"/>
              </w:rPr>
              <w:t xml:space="preserve">Definition / </w:t>
            </w:r>
            <w:r>
              <w:rPr>
                <w:rFonts w:ascii="Arial" w:eastAsia="Arial" w:hAnsi="Arial"/>
                <w:b/>
                <w:bCs/>
                <w:color w:val="FFFFFF"/>
                <w:sz w:val="18"/>
                <w:szCs w:val="18"/>
                <w:rtl/>
              </w:rPr>
              <w:t>التعريف</w:t>
            </w:r>
          </w:p>
        </w:tc>
      </w:tr>
      <w:tr w:rsidR="00CD5946" w14:paraId="0B38E411"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7BD8AC76" w14:textId="77777777" w:rsidR="00CD5946" w:rsidRDefault="00000000">
            <w:pPr>
              <w:spacing w:after="0"/>
            </w:pPr>
            <w:r>
              <w:rPr>
                <w:rFonts w:ascii="Arial" w:eastAsia="Arial" w:hAnsi="Arial"/>
                <w:b/>
                <w:bCs/>
                <w:color w:val="15512F"/>
                <w:sz w:val="18"/>
                <w:szCs w:val="18"/>
              </w:rPr>
              <w:t>Adventitious agent</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425D2A9F" w14:textId="77777777" w:rsidR="00CD5946" w:rsidRDefault="00000000">
            <w:pPr>
              <w:spacing w:after="0"/>
            </w:pPr>
            <w:r>
              <w:rPr>
                <w:rFonts w:ascii="Arial" w:eastAsia="Arial" w:hAnsi="Arial"/>
                <w:color w:val="1A1A1A"/>
                <w:sz w:val="18"/>
                <w:szCs w:val="18"/>
              </w:rPr>
              <w:t xml:space="preserve">A contaminating micro-organism (bacterium, fungus, mycoplasma, virus or TSE agent) inadvertently introduced into the production process. / </w:t>
            </w:r>
            <w:r>
              <w:rPr>
                <w:rFonts w:ascii="Arial" w:eastAsia="Arial" w:hAnsi="Arial"/>
                <w:color w:val="1A1A1A"/>
                <w:sz w:val="18"/>
                <w:szCs w:val="18"/>
                <w:rtl/>
              </w:rPr>
              <w:t>كائن ملوّث دخيل يُدخَل عرضاً في العملية</w:t>
            </w:r>
            <w:r>
              <w:rPr>
                <w:rFonts w:ascii="Arial" w:eastAsia="Arial" w:hAnsi="Arial"/>
                <w:color w:val="1A1A1A"/>
                <w:sz w:val="18"/>
                <w:szCs w:val="18"/>
              </w:rPr>
              <w:t>.</w:t>
            </w:r>
          </w:p>
        </w:tc>
      </w:tr>
      <w:tr w:rsidR="00CD5946" w14:paraId="417FFA62"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20920C89" w14:textId="77777777" w:rsidR="00CD5946" w:rsidRDefault="00000000">
            <w:pPr>
              <w:spacing w:after="0"/>
            </w:pPr>
            <w:r>
              <w:rPr>
                <w:rFonts w:ascii="Arial" w:eastAsia="Arial" w:hAnsi="Arial"/>
                <w:b/>
                <w:bCs/>
                <w:color w:val="15512F"/>
                <w:sz w:val="18"/>
                <w:szCs w:val="18"/>
              </w:rPr>
              <w:lastRenderedPageBreak/>
              <w:t>Cell bank (MCB/WCB)</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1DF7ABA1" w14:textId="77777777" w:rsidR="00CD5946" w:rsidRDefault="00000000">
            <w:pPr>
              <w:spacing w:after="0"/>
            </w:pPr>
            <w:r>
              <w:rPr>
                <w:rFonts w:ascii="Arial" w:eastAsia="Arial" w:hAnsi="Arial"/>
                <w:color w:val="1A1A1A"/>
                <w:sz w:val="18"/>
                <w:szCs w:val="18"/>
              </w:rPr>
              <w:t xml:space="preserve">Master and Working Cell Banks: aliquots of a uniform cell suspension stored under defined conditions for use across production. / </w:t>
            </w:r>
            <w:r>
              <w:rPr>
                <w:rFonts w:ascii="Arial" w:eastAsia="Arial" w:hAnsi="Arial"/>
                <w:color w:val="1A1A1A"/>
                <w:sz w:val="18"/>
                <w:szCs w:val="18"/>
                <w:rtl/>
              </w:rPr>
              <w:t>بنوك خلايا رئيسية وعاملة تُخزّن بظروف محدّدة</w:t>
            </w:r>
            <w:r>
              <w:rPr>
                <w:rFonts w:ascii="Arial" w:eastAsia="Arial" w:hAnsi="Arial"/>
                <w:color w:val="1A1A1A"/>
                <w:sz w:val="18"/>
                <w:szCs w:val="18"/>
              </w:rPr>
              <w:t>.</w:t>
            </w:r>
          </w:p>
        </w:tc>
      </w:tr>
      <w:tr w:rsidR="00CD5946" w14:paraId="2F95F680"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65B55299" w14:textId="77777777" w:rsidR="00CD5946" w:rsidRDefault="00000000">
            <w:pPr>
              <w:spacing w:after="0"/>
            </w:pPr>
            <w:r>
              <w:rPr>
                <w:rFonts w:ascii="Arial" w:eastAsia="Arial" w:hAnsi="Arial"/>
                <w:b/>
                <w:bCs/>
                <w:color w:val="15512F"/>
                <w:sz w:val="18"/>
                <w:szCs w:val="18"/>
              </w:rPr>
              <w:t>Comparability (ICH Q5E)</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782E9EFB" w14:textId="77777777" w:rsidR="00CD5946" w:rsidRDefault="00000000">
            <w:pPr>
              <w:spacing w:after="0"/>
            </w:pPr>
            <w:r>
              <w:rPr>
                <w:rFonts w:ascii="Arial" w:eastAsia="Arial" w:hAnsi="Arial"/>
                <w:color w:val="1A1A1A"/>
                <w:sz w:val="18"/>
                <w:szCs w:val="18"/>
              </w:rPr>
              <w:t xml:space="preserve">A demonstration that product quality is maintained after a manufacturing change, such that any differences have no adverse impact on safety or efficacy. / </w:t>
            </w:r>
            <w:r>
              <w:rPr>
                <w:rFonts w:ascii="Arial" w:eastAsia="Arial" w:hAnsi="Arial"/>
                <w:color w:val="1A1A1A"/>
                <w:sz w:val="18"/>
                <w:szCs w:val="18"/>
                <w:rtl/>
              </w:rPr>
              <w:t>إثبات ثبات الجودة بعد التغيير</w:t>
            </w:r>
            <w:r>
              <w:rPr>
                <w:rFonts w:ascii="Arial" w:eastAsia="Arial" w:hAnsi="Arial"/>
                <w:color w:val="1A1A1A"/>
                <w:sz w:val="18"/>
                <w:szCs w:val="18"/>
              </w:rPr>
              <w:t>.</w:t>
            </w:r>
          </w:p>
        </w:tc>
      </w:tr>
      <w:tr w:rsidR="00CD5946" w14:paraId="1C5A2B8D"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271E54F5" w14:textId="77777777" w:rsidR="00CD5946" w:rsidRDefault="00000000">
            <w:pPr>
              <w:spacing w:after="0"/>
            </w:pPr>
            <w:r>
              <w:rPr>
                <w:rFonts w:ascii="Arial" w:eastAsia="Arial" w:hAnsi="Arial"/>
                <w:b/>
                <w:bCs/>
                <w:color w:val="15512F"/>
                <w:sz w:val="18"/>
                <w:szCs w:val="18"/>
              </w:rPr>
              <w:t>Seed lot</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51AE0748" w14:textId="77777777" w:rsidR="00CD5946" w:rsidRDefault="00000000">
            <w:pPr>
              <w:spacing w:after="0"/>
            </w:pPr>
            <w:r>
              <w:rPr>
                <w:rFonts w:ascii="Arial" w:eastAsia="Arial" w:hAnsi="Arial"/>
                <w:color w:val="1A1A1A"/>
                <w:sz w:val="18"/>
                <w:szCs w:val="18"/>
              </w:rPr>
              <w:t xml:space="preserve">A culture of a micro-organism distributed from a single bulk into containers in one operation, to ensure uniformity and stability. / </w:t>
            </w:r>
            <w:r>
              <w:rPr>
                <w:rFonts w:ascii="Arial" w:eastAsia="Arial" w:hAnsi="Arial"/>
                <w:color w:val="1A1A1A"/>
                <w:sz w:val="18"/>
                <w:szCs w:val="18"/>
                <w:rtl/>
              </w:rPr>
              <w:t>مزرعة موزّعة دفعةً واحدة لضمان التجانس والاستقرار</w:t>
            </w:r>
            <w:r>
              <w:rPr>
                <w:rFonts w:ascii="Arial" w:eastAsia="Arial" w:hAnsi="Arial"/>
                <w:color w:val="1A1A1A"/>
                <w:sz w:val="18"/>
                <w:szCs w:val="18"/>
              </w:rPr>
              <w:t>.</w:t>
            </w:r>
          </w:p>
        </w:tc>
      </w:tr>
      <w:tr w:rsidR="00CD5946" w14:paraId="711DF540"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4A458442" w14:textId="77777777" w:rsidR="00CD5946" w:rsidRDefault="00000000">
            <w:pPr>
              <w:spacing w:after="0"/>
            </w:pPr>
            <w:r>
              <w:rPr>
                <w:rFonts w:ascii="Arial" w:eastAsia="Arial" w:hAnsi="Arial"/>
                <w:b/>
                <w:bCs/>
                <w:color w:val="15512F"/>
                <w:sz w:val="18"/>
                <w:szCs w:val="18"/>
              </w:rPr>
              <w:t>Viral safety (ICH Q5A)</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67EFAF1E" w14:textId="77777777" w:rsidR="00CD5946" w:rsidRDefault="00000000">
            <w:pPr>
              <w:spacing w:after="0"/>
            </w:pPr>
            <w:r>
              <w:rPr>
                <w:rFonts w:ascii="Arial" w:eastAsia="Arial" w:hAnsi="Arial"/>
                <w:color w:val="1A1A1A"/>
                <w:sz w:val="18"/>
                <w:szCs w:val="18"/>
              </w:rPr>
              <w:t xml:space="preserve">Assurance, through testing of materials/cell lines and validated removal/inactivation steps, that the product is free from infectious virus. / </w:t>
            </w:r>
            <w:r>
              <w:rPr>
                <w:rFonts w:ascii="Arial" w:eastAsia="Arial" w:hAnsi="Arial"/>
                <w:color w:val="1A1A1A"/>
                <w:sz w:val="18"/>
                <w:szCs w:val="18"/>
                <w:rtl/>
              </w:rPr>
              <w:t>ضمان خلوّ المنتج من الفيروس المعدي</w:t>
            </w:r>
            <w:r>
              <w:rPr>
                <w:rFonts w:ascii="Arial" w:eastAsia="Arial" w:hAnsi="Arial"/>
                <w:color w:val="1A1A1A"/>
                <w:sz w:val="18"/>
                <w:szCs w:val="18"/>
              </w:rPr>
              <w:t>.</w:t>
            </w:r>
          </w:p>
        </w:tc>
      </w:tr>
      <w:tr w:rsidR="00CD5946" w14:paraId="379427EA"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255692E9" w14:textId="77777777" w:rsidR="00CD5946" w:rsidRDefault="00000000">
            <w:pPr>
              <w:spacing w:after="0"/>
            </w:pPr>
            <w:r>
              <w:rPr>
                <w:rFonts w:ascii="Arial" w:eastAsia="Arial" w:hAnsi="Arial"/>
                <w:b/>
                <w:bCs/>
                <w:color w:val="15512F"/>
                <w:sz w:val="18"/>
                <w:szCs w:val="18"/>
              </w:rPr>
              <w:t>ATMP</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054EB576" w14:textId="77777777" w:rsidR="00CD5946" w:rsidRDefault="00000000">
            <w:pPr>
              <w:spacing w:after="0"/>
            </w:pPr>
            <w:r>
              <w:rPr>
                <w:rFonts w:ascii="Arial" w:eastAsia="Arial" w:hAnsi="Arial"/>
                <w:color w:val="1A1A1A"/>
                <w:sz w:val="18"/>
                <w:szCs w:val="18"/>
              </w:rPr>
              <w:t xml:space="preserve">Advanced Therapy Medicinal Product: a gene-therapy, somatic-cell-therapy or tissue-engineered product. / </w:t>
            </w:r>
            <w:r>
              <w:rPr>
                <w:rFonts w:ascii="Arial" w:eastAsia="Arial" w:hAnsi="Arial"/>
                <w:color w:val="1A1A1A"/>
                <w:sz w:val="18"/>
                <w:szCs w:val="18"/>
                <w:rtl/>
              </w:rPr>
              <w:t>منتج علاج متقدّم (جيني أو خلوي أو أنسجة)</w:t>
            </w:r>
            <w:r>
              <w:rPr>
                <w:rFonts w:ascii="Arial" w:eastAsia="Arial" w:hAnsi="Arial"/>
                <w:color w:val="1A1A1A"/>
                <w:sz w:val="18"/>
                <w:szCs w:val="18"/>
              </w:rPr>
              <w:t>.</w:t>
            </w:r>
          </w:p>
        </w:tc>
      </w:tr>
    </w:tbl>
    <w:p w14:paraId="49CC10C0" w14:textId="77777777" w:rsidR="00CD5946" w:rsidRDefault="00000000">
      <w:pPr>
        <w:spacing w:before="260" w:after="0"/>
        <w:jc w:val="center"/>
      </w:pPr>
      <w:r>
        <w:rPr>
          <w:noProof/>
        </w:rPr>
        <w:drawing>
          <wp:inline distT="0" distB="0" distL="0" distR="0" wp14:anchorId="24FA702B" wp14:editId="36ADDF96">
            <wp:extent cx="876300" cy="1238250"/>
            <wp:effectExtent l="0" t="0" r="0" b="0"/>
            <wp:docPr id="6" name="Image5"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34AB804D" w14:textId="77777777" w:rsidR="00CD5946" w:rsidRDefault="00000000">
      <w:pPr>
        <w:spacing w:before="50" w:after="0"/>
        <w:jc w:val="center"/>
      </w:pPr>
      <w:r>
        <w:rPr>
          <w:rFonts w:ascii="Arial" w:eastAsia="Arial" w:hAnsi="Arial"/>
          <w:b/>
          <w:bCs/>
          <w:color w:val="15512F"/>
          <w:sz w:val="19"/>
          <w:szCs w:val="19"/>
        </w:rPr>
        <w:t>AUPAM EXPERTS' OFFICE</w:t>
      </w:r>
    </w:p>
    <w:p w14:paraId="3265C8B0"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05D0E30E" w14:textId="77777777" w:rsidR="00CD5946" w:rsidRDefault="00000000">
      <w:pPr>
        <w:spacing w:before="10" w:after="0"/>
        <w:jc w:val="center"/>
      </w:pPr>
      <w:r>
        <w:rPr>
          <w:rFonts w:ascii="Arial" w:eastAsia="Arial" w:hAnsi="Arial"/>
          <w:b/>
          <w:bCs/>
          <w:color w:val="B08C37"/>
          <w:sz w:val="24"/>
          <w:szCs w:val="24"/>
        </w:rPr>
        <w:t>2026 EDITION</w:t>
      </w:r>
    </w:p>
    <w:p w14:paraId="39A33EC4" w14:textId="77777777" w:rsidR="00CD5946" w:rsidRDefault="00000000">
      <w:pPr>
        <w:spacing w:before="260" w:after="0"/>
        <w:jc w:val="center"/>
      </w:pPr>
      <w:r>
        <w:rPr>
          <w:rFonts w:ascii="Arial" w:eastAsia="Arial" w:hAnsi="Arial"/>
          <w:b/>
          <w:bCs/>
          <w:color w:val="15512F"/>
          <w:sz w:val="54"/>
          <w:szCs w:val="54"/>
        </w:rPr>
        <w:t>ARAB ANNEX A-TBP</w:t>
      </w:r>
    </w:p>
    <w:p w14:paraId="46ABC543" w14:textId="77777777" w:rsidR="00CD5946" w:rsidRDefault="00000000">
      <w:pPr>
        <w:spacing w:before="40" w:after="0"/>
        <w:jc w:val="center"/>
      </w:pPr>
      <w:r>
        <w:rPr>
          <w:rFonts w:ascii="Arial" w:eastAsia="Arial" w:hAnsi="Arial"/>
          <w:b/>
          <w:bCs/>
          <w:color w:val="1A1A1A"/>
          <w:sz w:val="28"/>
          <w:szCs w:val="28"/>
        </w:rPr>
        <w:t>Traditional (Classical) Biological Medicinal Products</w:t>
      </w:r>
    </w:p>
    <w:p w14:paraId="46BB6FEF" w14:textId="77777777" w:rsidR="00CD5946" w:rsidRDefault="00000000">
      <w:pPr>
        <w:spacing w:before="16" w:after="0"/>
        <w:jc w:val="center"/>
      </w:pPr>
      <w:r>
        <w:rPr>
          <w:rFonts w:ascii="Arial" w:eastAsia="Arial" w:hAnsi="Arial"/>
          <w:color w:val="5A5A5A"/>
          <w:sz w:val="22"/>
          <w:szCs w:val="22"/>
        </w:rPr>
        <w:t>Segregation · inactivation · animal sourcing · EN | AR</w:t>
      </w:r>
    </w:p>
    <w:p w14:paraId="1FC20070" w14:textId="77777777" w:rsidR="00CD5946" w:rsidRDefault="00000000">
      <w:pPr>
        <w:spacing w:before="26" w:after="0"/>
        <w:jc w:val="center"/>
      </w:pPr>
      <w:r>
        <w:rPr>
          <w:rFonts w:ascii="Arial" w:eastAsia="Arial" w:hAnsi="Arial"/>
          <w:b/>
          <w:bCs/>
          <w:color w:val="15512F"/>
          <w:sz w:val="22"/>
          <w:szCs w:val="22"/>
          <w:rtl/>
        </w:rPr>
        <w:t>الملحق ⁦</w:t>
      </w:r>
      <w:r>
        <w:rPr>
          <w:rFonts w:ascii="Arial" w:eastAsia="Arial" w:hAnsi="Arial"/>
          <w:b/>
          <w:bCs/>
          <w:color w:val="15512F"/>
          <w:sz w:val="22"/>
          <w:szCs w:val="22"/>
        </w:rPr>
        <w:t>2</w:t>
      </w:r>
      <w:r>
        <w:rPr>
          <w:rFonts w:ascii="Arial" w:eastAsia="Arial" w:hAnsi="Arial"/>
          <w:b/>
          <w:bCs/>
          <w:color w:val="15512F"/>
          <w:sz w:val="22"/>
          <w:szCs w:val="22"/>
          <w:rtl/>
        </w:rPr>
        <w:t>⁩ — المنتجات البيولوجية التقليدية</w:t>
      </w:r>
    </w:p>
    <w:p w14:paraId="70978FA4"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016E874F" w14:textId="77777777" w:rsidR="00CD5946" w:rsidRDefault="00000000">
      <w:r>
        <w:br w:type="page"/>
      </w:r>
    </w:p>
    <w:p w14:paraId="08499794" w14:textId="77777777" w:rsidR="00CD5946" w:rsidRDefault="00000000">
      <w:pPr>
        <w:pStyle w:val="Heading1"/>
        <w:spacing w:before="0"/>
      </w:pPr>
      <w:bookmarkStart w:id="145" w:name="__RefHeading___Toc9447_1729075678"/>
      <w:bookmarkEnd w:id="145"/>
      <w:r>
        <w:lastRenderedPageBreak/>
        <w:t>Contents</w:t>
      </w:r>
    </w:p>
    <w:sdt>
      <w:sdtPr>
        <w:id w:val="1434705246"/>
        <w:docPartObj>
          <w:docPartGallery w:val="Table of Contents"/>
          <w:docPartUnique/>
        </w:docPartObj>
      </w:sdtPr>
      <w:sdtContent>
        <w:p w14:paraId="0A48ACE3"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211D2E36"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7782901D"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66DF9D75"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2BA88FE9"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7CA5A187"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7932A79C"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2754F758"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01A1C590"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3624C994"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3C56094F"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4BAFF922"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38F57A99"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3C6D12FA"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3F7DE107"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5B2EAC13"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288C2946"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24182A23"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4E155409"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2345B683"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44777FE1"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3771AEBC"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1F492D87"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5564559B"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0534F2AE"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5B4EA8BE"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73AC6F51"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39375EA7"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1C36F99F"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04131125"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6A857DBF"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1E360944"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1A0E395E"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2EBB7F73"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6A15305F"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49EDA54C"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3CEB26F5"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24425062"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1F128F1A"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2608A792"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35115EB0"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766A46D3"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662BF207"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3EF0ED9B"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3BD81ED6"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6D23D52D"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12B60C99"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6D0DF6C3"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4BC084FC"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33BA91FD"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177F539B"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0AB719BC"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2D62EC28"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470A9079"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7B5558E8"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1440AC27"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10190EFD"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2C60C9F1"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182FE7B6"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00D8FDB3"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1F896192"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7470D197"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27257200"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629327AA"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42659167"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4D8804CB"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762CBA8E"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2CFDDF7C"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2273624E"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3F8EFE09"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6BB485D8"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077FA2DD"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4697A145"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4212BB9E" w14:textId="77777777" w:rsidR="00CD5946" w:rsidRDefault="00CD5946"/>
    <w:p w14:paraId="63B47749" w14:textId="77777777" w:rsidR="00CD5946" w:rsidRDefault="00000000">
      <w:pPr>
        <w:pStyle w:val="Heading1"/>
      </w:pPr>
      <w:bookmarkStart w:id="146" w:name="__RefHeading___Toc9449_1729075678"/>
      <w:bookmarkEnd w:id="146"/>
      <w:r>
        <w:t xml:space="preserve">Annex A-TBP — Traditional (Classical) Biological Medicinal Products  ·  </w:t>
      </w:r>
      <w:r>
        <w:rPr>
          <w:rtl/>
        </w:rPr>
        <w:t xml:space="preserve">الملحق </w:t>
      </w:r>
      <w:r>
        <w:t>A-TBP</w:t>
      </w:r>
      <w:r>
        <w:rPr>
          <w:rtl/>
        </w:rPr>
        <w:t xml:space="preserve"> — المنتجات البيولوجية التقليدية</w:t>
      </w:r>
    </w:p>
    <w:p w14:paraId="1D511206" w14:textId="77777777" w:rsidR="00CD5946" w:rsidRDefault="00000000">
      <w:pPr>
        <w:spacing w:before="10" w:after="150"/>
      </w:pPr>
      <w:r>
        <w:rPr>
          <w:rFonts w:ascii="Arial" w:eastAsia="Arial" w:hAnsi="Arial"/>
          <w:b/>
          <w:bCs/>
          <w:color w:val="C8A24B"/>
          <w:sz w:val="17"/>
          <w:szCs w:val="17"/>
        </w:rPr>
        <w:t xml:space="preserve">Harmonised with: </w:t>
      </w:r>
      <w:r>
        <w:rPr>
          <w:rFonts w:ascii="Arial" w:eastAsia="Arial" w:hAnsi="Arial"/>
          <w:i/>
          <w:iCs/>
          <w:color w:val="5A5A5A"/>
          <w:sz w:val="17"/>
          <w:szCs w:val="17"/>
        </w:rPr>
        <w:t>EU GMP Annex 2 (2018) · SFDA GMP Guide v4.4 · PIC/S PE 009-17 Annex 2B · WHO TRS 822 / TRS 999 Annex 2 · Ph.Eur. · read together with Annex 2B and Annex 1</w:t>
      </w:r>
    </w:p>
    <w:p w14:paraId="4A2D363D" w14:textId="77777777" w:rsidR="00CD5946" w:rsidRDefault="00000000">
      <w:pPr>
        <w:pBdr>
          <w:left w:val="single" w:sz="16" w:space="8" w:color="C8A24B"/>
        </w:pBdr>
        <w:spacing w:after="40"/>
        <w:ind w:left="160"/>
      </w:pPr>
      <w:r>
        <w:rPr>
          <w:rFonts w:ascii="Arial" w:eastAsia="Arial" w:hAnsi="Arial"/>
          <w:b/>
          <w:bCs/>
          <w:color w:val="C8A24B"/>
        </w:rPr>
        <w:t xml:space="preserve">Principle.  </w:t>
      </w:r>
      <w:r>
        <w:rPr>
          <w:rFonts w:ascii="Arial" w:eastAsia="Arial" w:hAnsi="Arial"/>
          <w:color w:val="1A1A1A"/>
        </w:rPr>
        <w:t>This Annex addresses traditional (classical) biological medicinal products — such as conventional inactivated and live vaccines, bacterial vaccines and toxoids, sera and antitoxins, and other products prepared by established biological methods — which, while sharing the general principles of Annex 2B, present specific risks arising from the handling of pathogenic organisms, animal-derived materials, and inactivation/detoxification steps. The control of these products depends on rigorous segregation, validated inactivation, and the consistency of the biological process.</w:t>
      </w:r>
    </w:p>
    <w:p w14:paraId="438695A1" w14:textId="77777777" w:rsidR="00CD5946" w:rsidRDefault="00000000">
      <w:pPr>
        <w:bidi/>
        <w:spacing w:after="150"/>
        <w:ind w:right="160"/>
        <w:jc w:val="right"/>
      </w:pPr>
      <w:r>
        <w:rPr>
          <w:rFonts w:ascii="Arial" w:eastAsia="Arial" w:hAnsi="Arial"/>
          <w:b/>
          <w:bCs/>
          <w:color w:val="C8A24B"/>
          <w:sz w:val="20"/>
          <w:szCs w:val="20"/>
          <w:rtl/>
        </w:rPr>
        <w:t xml:space="preserve">المبدأ. </w:t>
      </w:r>
      <w:r>
        <w:rPr>
          <w:rFonts w:ascii="Arial" w:eastAsia="Arial" w:hAnsi="Arial"/>
          <w:color w:val="333333"/>
          <w:sz w:val="20"/>
          <w:szCs w:val="20"/>
          <w:rtl/>
        </w:rPr>
        <w:t>يتناول هذا الملحق المنتجات البيولوجية التقليدية — كاللقاحات المُعطّلة والحيّة، واللقاحات البكتيرية والذيفانات المُستحدثة، والأمصال والأضداد، وغيرها ممّا يُحضّر بطرائق بيولوجية راسخة — والتي، وإن شاركت مبادئ الملحق ⁦</w:t>
      </w:r>
      <w:r>
        <w:rPr>
          <w:rFonts w:ascii="Arial" w:eastAsia="Arial" w:hAnsi="Arial"/>
          <w:color w:val="333333"/>
          <w:sz w:val="20"/>
          <w:szCs w:val="20"/>
        </w:rPr>
        <w:t>2</w:t>
      </w:r>
      <w:r>
        <w:rPr>
          <w:rFonts w:ascii="Arial" w:eastAsia="Arial" w:hAnsi="Arial"/>
          <w:color w:val="333333"/>
          <w:sz w:val="20"/>
          <w:szCs w:val="20"/>
          <w:rtl/>
        </w:rPr>
        <w:t>⁩أ، تنطوي على مخاطر خاصة من مناولة الكائنات الممرضة والمواد الحيوانية وخطوات التعطيل. ويعتمد ضبطها على العزل الصارم والتعطيل المُتحقّق وتجانس العملية.</w:t>
      </w:r>
    </w:p>
    <w:p w14:paraId="1D2728AB" w14:textId="77777777" w:rsidR="00CD5946" w:rsidRDefault="00000000">
      <w:pPr>
        <w:pBdr>
          <w:left w:val="single" w:sz="10" w:space="8" w:color="CFCFCF"/>
        </w:pBdr>
        <w:spacing w:before="60" w:after="30"/>
        <w:ind w:left="160"/>
      </w:pPr>
      <w:r>
        <w:rPr>
          <w:rFonts w:ascii="Arial" w:eastAsia="Arial" w:hAnsi="Arial"/>
          <w:b/>
          <w:bCs/>
          <w:color w:val="15512F"/>
          <w:sz w:val="20"/>
          <w:szCs w:val="20"/>
        </w:rPr>
        <w:t xml:space="preserve">Scope.  </w:t>
      </w:r>
      <w:r>
        <w:rPr>
          <w:rFonts w:ascii="Arial" w:eastAsia="Arial" w:hAnsi="Arial"/>
          <w:color w:val="1A1A1A"/>
          <w:sz w:val="20"/>
          <w:szCs w:val="20"/>
        </w:rPr>
        <w:t>This Annex supplements Annex 2B for traditional biological products. It does not cover biotechnology-derived products, ATMPs or biosimilars, which are addressed in Annex 2B and Annex A-BIO. It is read together with Annex 1 where the product is sterile.</w:t>
      </w:r>
    </w:p>
    <w:p w14:paraId="024FE02C" w14:textId="77777777" w:rsidR="00CD5946" w:rsidRDefault="00000000">
      <w:pPr>
        <w:bidi/>
        <w:spacing w:after="150"/>
        <w:ind w:right="160"/>
        <w:jc w:val="right"/>
      </w:pPr>
      <w:r>
        <w:rPr>
          <w:rFonts w:ascii="Arial" w:eastAsia="Arial" w:hAnsi="Arial"/>
          <w:b/>
          <w:bCs/>
          <w:color w:val="15512F"/>
          <w:sz w:val="20"/>
          <w:szCs w:val="20"/>
          <w:rtl/>
        </w:rPr>
        <w:t xml:space="preserve">النطاق. </w:t>
      </w:r>
      <w:r>
        <w:rPr>
          <w:rFonts w:ascii="Arial" w:eastAsia="Arial" w:hAnsi="Arial"/>
          <w:color w:val="333333"/>
          <w:sz w:val="20"/>
          <w:szCs w:val="20"/>
          <w:rtl/>
        </w:rPr>
        <w:t>يُكمّل هذا الملحق الملحق ⁦</w:t>
      </w:r>
      <w:r>
        <w:rPr>
          <w:rFonts w:ascii="Arial" w:eastAsia="Arial" w:hAnsi="Arial"/>
          <w:color w:val="333333"/>
          <w:sz w:val="20"/>
          <w:szCs w:val="20"/>
        </w:rPr>
        <w:t>2</w:t>
      </w:r>
      <w:r>
        <w:rPr>
          <w:rFonts w:ascii="Arial" w:eastAsia="Arial" w:hAnsi="Arial"/>
          <w:color w:val="333333"/>
          <w:sz w:val="20"/>
          <w:szCs w:val="20"/>
          <w:rtl/>
        </w:rPr>
        <w:t>⁩أ للمنتجات التقليدية. ولا يغطّي منتجات التقنية الحيوية والعلاج المتقدّم والمثائل الحيوية (الملحق ⁦</w:t>
      </w:r>
      <w:r>
        <w:rPr>
          <w:rFonts w:ascii="Arial" w:eastAsia="Arial" w:hAnsi="Arial"/>
          <w:color w:val="333333"/>
          <w:sz w:val="20"/>
          <w:szCs w:val="20"/>
        </w:rPr>
        <w:t>2</w:t>
      </w:r>
      <w:r>
        <w:rPr>
          <w:rFonts w:ascii="Arial" w:eastAsia="Arial" w:hAnsi="Arial"/>
          <w:color w:val="333333"/>
          <w:sz w:val="20"/>
          <w:szCs w:val="20"/>
          <w:rtl/>
        </w:rPr>
        <w:t>⁩أ و</w:t>
      </w:r>
      <w:r>
        <w:rPr>
          <w:rFonts w:ascii="Arial" w:eastAsia="Arial" w:hAnsi="Arial"/>
          <w:color w:val="333333"/>
          <w:sz w:val="20"/>
          <w:szCs w:val="20"/>
        </w:rPr>
        <w:t>A-BIO</w:t>
      </w:r>
      <w:r>
        <w:rPr>
          <w:rFonts w:ascii="Arial" w:eastAsia="Arial" w:hAnsi="Arial"/>
          <w:color w:val="333333"/>
          <w:sz w:val="20"/>
          <w:szCs w:val="20"/>
          <w:rtl/>
        </w:rPr>
        <w:t>)، ويُقرأ مع الملحق ⁦</w:t>
      </w:r>
      <w:r>
        <w:rPr>
          <w:rFonts w:ascii="Arial" w:eastAsia="Arial" w:hAnsi="Arial"/>
          <w:color w:val="333333"/>
          <w:sz w:val="20"/>
          <w:szCs w:val="20"/>
        </w:rPr>
        <w:t>1</w:t>
      </w:r>
      <w:r>
        <w:rPr>
          <w:rFonts w:ascii="Arial" w:eastAsia="Arial" w:hAnsi="Arial"/>
          <w:color w:val="333333"/>
          <w:sz w:val="20"/>
          <w:szCs w:val="20"/>
          <w:rtl/>
        </w:rPr>
        <w:t>⁩ للمنتجات المعقّمة.</w:t>
      </w:r>
    </w:p>
    <w:p w14:paraId="4D57A65D" w14:textId="77777777" w:rsidR="00CD5946" w:rsidRDefault="00000000">
      <w:pPr>
        <w:pStyle w:val="Heading2"/>
        <w:spacing w:before="220"/>
      </w:pPr>
      <w:bookmarkStart w:id="147" w:name="__RefHeading___Toc9451_1729075678"/>
      <w:bookmarkEnd w:id="147"/>
      <w:r>
        <w:t>1.  Segregation, animal sourcing and inactivation</w:t>
      </w:r>
      <w:r>
        <w:rPr>
          <w:b w:val="0"/>
          <w:bCs w:val="0"/>
          <w:color w:val="1A1A1A"/>
          <w:sz w:val="21"/>
          <w:szCs w:val="21"/>
        </w:rPr>
        <w:t xml:space="preserve">   </w:t>
      </w:r>
      <w:r>
        <w:rPr>
          <w:color w:val="C8A24B"/>
          <w:sz w:val="20"/>
          <w:szCs w:val="20"/>
          <w:rtl/>
        </w:rPr>
        <w:t>العزل والمصدر الحيواني والتعطيل</w:t>
      </w:r>
    </w:p>
    <w:p w14:paraId="36962856" w14:textId="77777777" w:rsidR="00CD5946" w:rsidRDefault="00000000">
      <w:pPr>
        <w:spacing w:after="40" w:line="266" w:lineRule="auto"/>
        <w:ind w:left="300" w:hanging="300"/>
      </w:pPr>
      <w:r>
        <w:rPr>
          <w:rFonts w:ascii="Arial" w:eastAsia="Arial" w:hAnsi="Arial"/>
          <w:b/>
          <w:bCs/>
          <w:color w:val="15512F"/>
        </w:rPr>
        <w:t xml:space="preserve">2B.1  </w:t>
      </w:r>
      <w:r>
        <w:rPr>
          <w:rFonts w:ascii="Arial" w:eastAsia="Arial" w:hAnsi="Arial"/>
          <w:color w:val="1A1A1A"/>
        </w:rPr>
        <w:t xml:space="preserve">Operations with pathogenic organisms, live vaccines and toxins shall be segregated, by dedicated facilities or by validated campaign manufacture with thorough decontamination between campaigns, on the basis of a documented risk assessment. A clear separation — physical and/or temporal — shall be maintained between operations before and after </w:t>
        <w:lastRenderedPageBreak/>
        <w:t>inactivation/detoxification, and measures shall prevent recontamination of inactivated product by live organisms. Effluent and waste containing live organisms shall be decontaminated before disposal.</w:t>
      </w:r>
    </w:p>
    <w:p w14:paraId="399640F6" w14:textId="77777777" w:rsidR="00CD5946" w:rsidRDefault="00000000">
      <w:pPr>
        <w:bidi/>
        <w:spacing w:after="150" w:line="300" w:lineRule="auto"/>
        <w:ind w:right="300" w:hanging="300"/>
        <w:jc w:val="right"/>
      </w:pPr>
      <w:r>
        <w:rPr>
          <w:rFonts w:ascii="Arial" w:eastAsia="Arial" w:hAnsi="Arial"/>
          <w:color w:val="333333"/>
          <w:sz w:val="20"/>
          <w:szCs w:val="20"/>
          <w:rtl/>
        </w:rPr>
        <w:t>تُعزل العمليات مع الكائنات الممرضة واللقاحات الحيّة والسموم، بمرافق مخصّصة أو بحملات مُتحقّقة مع إزالة تلوث شاملة بين الحملات، بناءً على تقييم مخاطر موثّق. ويُحافَظ على فصل واضح — مكاني و/أو زمني — بين العمليات قبل التعطيل وبعده، وتُتّخذ تدابير لمنع إعادة تلوث المنتج المُعطّل. ويُعقّم الصرف والنفايات الحاوية لكائنات حيّة قبل التخلّص.</w:t>
      </w:r>
      <w:r>
        <w:rPr>
          <w:rFonts w:ascii="Arial" w:eastAsia="Arial" w:hAnsi="Arial"/>
          <w:b/>
          <w:bCs/>
          <w:color w:val="15512F"/>
          <w:sz w:val="20"/>
          <w:szCs w:val="20"/>
          <w:rtl/>
        </w:rPr>
        <w:t xml:space="preserve">  ⁦</w:t>
      </w:r>
      <w:r>
        <w:rPr>
          <w:rFonts w:ascii="Arial" w:eastAsia="Arial" w:hAnsi="Arial"/>
          <w:b/>
          <w:bCs/>
          <w:color w:val="15512F"/>
          <w:sz w:val="20"/>
          <w:szCs w:val="20"/>
        </w:rPr>
        <w:t>2B.1</w:t>
      </w:r>
      <w:r>
        <w:rPr>
          <w:rFonts w:ascii="Arial" w:eastAsia="Arial" w:hAnsi="Arial"/>
          <w:b/>
          <w:bCs/>
          <w:color w:val="15512F"/>
          <w:sz w:val="20"/>
          <w:szCs w:val="20"/>
          <w:rtl/>
        </w:rPr>
        <w:t>⁩</w:t>
      </w:r>
    </w:p>
    <w:p w14:paraId="5446EF6A" w14:textId="77777777" w:rsidR="00CD5946" w:rsidRDefault="00000000">
      <w:pPr>
        <w:spacing w:after="40" w:line="266" w:lineRule="auto"/>
        <w:ind w:left="300" w:hanging="300"/>
      </w:pPr>
      <w:r>
        <w:rPr>
          <w:rFonts w:ascii="Arial" w:eastAsia="Arial" w:hAnsi="Arial"/>
          <w:b/>
          <w:bCs/>
          <w:color w:val="15512F"/>
        </w:rPr>
        <w:t xml:space="preserve">2B.2  </w:t>
      </w:r>
      <w:r>
        <w:rPr>
          <w:rFonts w:ascii="Arial" w:eastAsia="Arial" w:hAnsi="Arial"/>
          <w:color w:val="1A1A1A"/>
        </w:rPr>
        <w:t>Materials of animal or human origin (for example sera, egg-based substrates, tissues) shall be obtained from controlled, qualified and traceable sources, with the relevant health certification and TSE-minimisation measures. The inactivation or detoxification process shall be validated and routinely monitored, including a demonstration of the inactivation kinetics and a defined hold to confirm completeness before the product proceeds. Potency and identity shall be confirmed against an appropriate reference.</w:t>
      </w:r>
    </w:p>
    <w:p w14:paraId="405B8B60"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تُستمدّ المواد ذات المنشأ الحيواني أو البشري (كالأمصال والركائز البيضية والأنسجة) من مصادر مضبوطة مؤهّلة قابلة للتتبّع، مع الشهادات الصحية وتدابير خفض </w:t>
      </w:r>
      <w:r>
        <w:rPr>
          <w:rFonts w:ascii="Arial" w:eastAsia="Arial" w:hAnsi="Arial"/>
          <w:color w:val="333333"/>
          <w:sz w:val="20"/>
          <w:szCs w:val="20"/>
        </w:rPr>
        <w:t>TSE</w:t>
      </w:r>
      <w:r>
        <w:rPr>
          <w:rFonts w:ascii="Arial" w:eastAsia="Arial" w:hAnsi="Arial"/>
          <w:color w:val="333333"/>
          <w:sz w:val="20"/>
          <w:szCs w:val="20"/>
          <w:rtl/>
        </w:rPr>
        <w:t>. وتُتحقّق عملية التعطيل/إزالة السميّة وتُراقَب روتينيّاً، بما في ذلك إثبات حركية التعطيل وحفظ محدّد لتأكيد الاكتمال. وتُؤكّد الفعالية والهوية مقابل مرجع مناسب.</w:t>
      </w:r>
      <w:r>
        <w:rPr>
          <w:rFonts w:ascii="Arial" w:eastAsia="Arial" w:hAnsi="Arial"/>
          <w:b/>
          <w:bCs/>
          <w:color w:val="15512F"/>
          <w:sz w:val="20"/>
          <w:szCs w:val="20"/>
          <w:rtl/>
        </w:rPr>
        <w:t xml:space="preserve">  ⁦</w:t>
      </w:r>
      <w:r>
        <w:rPr>
          <w:rFonts w:ascii="Arial" w:eastAsia="Arial" w:hAnsi="Arial"/>
          <w:b/>
          <w:bCs/>
          <w:color w:val="15512F"/>
          <w:sz w:val="20"/>
          <w:szCs w:val="20"/>
        </w:rPr>
        <w:t>2B.2</w:t>
      </w:r>
      <w:r>
        <w:rPr>
          <w:rFonts w:ascii="Arial" w:eastAsia="Arial" w:hAnsi="Arial"/>
          <w:b/>
          <w:bCs/>
          <w:color w:val="15512F"/>
          <w:sz w:val="20"/>
          <w:szCs w:val="20"/>
          <w:rtl/>
        </w:rPr>
        <w:t>⁩</w:t>
      </w:r>
    </w:p>
    <w:p w14:paraId="12FEC1DC" w14:textId="77777777" w:rsidR="00CD5946" w:rsidRDefault="00000000">
      <w:pPr>
        <w:pBdr>
          <w:left w:val="single" w:sz="6" w:space="8" w:color="CFCFCF"/>
        </w:pBd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These products predate modern biotechnology but remain in wide use across the region (for example diphtheria/tetanus toxoids and antivenoms). The classical methods are well established, but the inactivation step is the single most safety-critical control — an incompletely-inactivated batch is the historical cause of the most serious vaccine incidents — hence the emphasis on validated kinetics and a confirmatory hold.</w:t>
      </w:r>
    </w:p>
    <w:p w14:paraId="525FE28C" w14:textId="77777777" w:rsidR="00CD5946" w:rsidRDefault="00000000">
      <w:pPr>
        <w:bidi/>
        <w:spacing w:after="140"/>
        <w:ind w:right="300"/>
        <w:jc w:val="right"/>
      </w:pPr>
      <w:r>
        <w:rPr>
          <w:rFonts w:ascii="Arial" w:eastAsia="Arial" w:hAnsi="Arial"/>
          <w:color w:val="5A5A5A"/>
          <w:sz w:val="18"/>
          <w:szCs w:val="18"/>
          <w:rtl/>
        </w:rPr>
        <w:t>تسبق هذه المنتجات التقنية الحيوية الحديثة لكنّها واسعة الاستخدام (كذيفانات الدفتيريا/الكزاز والأضداد). والطرائق راسخة، لكنّ خطوة التعطيل أشدّ الضوابط حرجيّة للسلامة — فالدفعة غير المُعطّلة تماماً سبب تاريخي لأخطر حوادث اللقاحات — ومن ثمّ التأكيد على الحركية المُتحقّقة والحفظ التأكيدي.</w:t>
      </w:r>
      <w:r>
        <w:rPr>
          <w:rFonts w:ascii="Arial" w:eastAsia="Arial" w:hAnsi="Arial"/>
          <w:b/>
          <w:bCs/>
          <w:color w:val="5A5A5A"/>
          <w:sz w:val="18"/>
          <w:szCs w:val="18"/>
          <w:rtl/>
        </w:rPr>
        <w:t xml:space="preserve">  ملاحظة.</w:t>
      </w:r>
    </w:p>
    <w:p w14:paraId="4382F598" w14:textId="77777777" w:rsidR="00CD5946" w:rsidRDefault="00000000">
      <w:pPr>
        <w:spacing w:before="20" w:after="60"/>
        <w:jc w:val="both"/>
      </w:pPr>
      <w:r>
        <w:rPr>
          <w:rFonts w:ascii="Calibri" w:eastAsia="Calibri" w:hAnsi="Calibri"/>
          <w:b/>
          <w:color w:val="0E5A50"/>
          <w:sz w:val="20"/>
        </w:rPr>
        <w:t xml:space="preserve">2B.3  </w:t>
      </w:r>
      <w:r>
        <w:rPr>
          <w:sz w:val="20"/>
        </w:rPr>
        <w:t>Inactivation and removal steps (for example heat, formaldehyde, beta-propiolactone or filtration) shall be validated for effectiveness against the target organism, and the validation shall demonstrate the assurance of inactivation/removal under worst-case conditions.</w:t>
      </w:r>
    </w:p>
    <w:p w14:paraId="12148ECE" w14:textId="77777777" w:rsidR="00CD5946" w:rsidRDefault="00000000">
      <w:pPr>
        <w:bidi/>
        <w:spacing w:before="20" w:after="60"/>
        <w:jc w:val="both"/>
      </w:pPr>
      <w:r>
        <w:rPr>
          <w:rFonts w:ascii="Arial" w:eastAsia="Arial" w:hAnsi="Arial"/>
          <w:sz w:val="20"/>
          <w:rtl/>
        </w:rPr>
        <w:t xml:space="preserve">تُتحقَّق خطوات التعطيل والإزالة (كالحرارة أو الفورمالدهيد أو بيتا-بروبيولاكتون أو الترشيح) من فاعليّتها ضدّ الكائن المستهدف، ويُثبِت التحقّق توكيد التعطيل/الإزالة في أسوأ الظروف.  </w:t>
      </w:r>
      <w:r>
        <w:rPr>
          <w:rFonts w:ascii="Calibri" w:eastAsia="Calibri" w:hAnsi="Calibri"/>
          <w:b/>
          <w:color w:val="14756A"/>
          <w:sz w:val="20"/>
        </w:rPr>
        <w:t>2B.3</w:t>
      </w:r>
    </w:p>
    <w:p w14:paraId="39B72C5C" w14:textId="77777777" w:rsidR="00CD5946" w:rsidRDefault="00000000">
      <w:pPr>
        <w:spacing w:before="20" w:after="60"/>
        <w:jc w:val="both"/>
      </w:pPr>
      <w:r>
        <w:rPr>
          <w:rFonts w:ascii="Calibri" w:eastAsia="Calibri" w:hAnsi="Calibri"/>
          <w:b/>
          <w:color w:val="0E5A50"/>
          <w:sz w:val="20"/>
        </w:rPr>
        <w:t xml:space="preserve">2B.4  </w:t>
      </w:r>
      <w:r>
        <w:rPr>
          <w:sz w:val="20"/>
        </w:rPr>
        <w:t>Environmental and personnel monitoring shall reflect the biological hazard; access shall be restricted, and gowning and decontamination procedures shall prevent the spread of viable organisms.</w:t>
      </w:r>
    </w:p>
    <w:p w14:paraId="432D8FC0" w14:textId="77777777" w:rsidR="00CD5946" w:rsidRDefault="00000000">
      <w:pPr>
        <w:bidi/>
        <w:spacing w:before="20" w:after="60"/>
        <w:jc w:val="both"/>
      </w:pPr>
      <w:r>
        <w:rPr>
          <w:rFonts w:ascii="Arial" w:eastAsia="Arial" w:hAnsi="Arial"/>
          <w:sz w:val="20"/>
          <w:rtl/>
        </w:rPr>
        <w:t xml:space="preserve">تعكس مراقبة البيئة والأفراد الخطر الحيوي، ويُقيَّد الوصول، وتمنع إجراءات الارتداء وإزالة التلوّث انتشار الكائنات الحيّة.  </w:t>
      </w:r>
      <w:r>
        <w:rPr>
          <w:rFonts w:ascii="Calibri" w:eastAsia="Calibri" w:hAnsi="Calibri"/>
          <w:b/>
          <w:color w:val="14756A"/>
          <w:sz w:val="20"/>
        </w:rPr>
        <w:t>2B.4</w:t>
      </w:r>
    </w:p>
    <w:p w14:paraId="45F099C8" w14:textId="77777777" w:rsidR="00CD5946" w:rsidRDefault="00000000">
      <w:pPr>
        <w:pStyle w:val="Heading2"/>
        <w:spacing w:before="220"/>
      </w:pPr>
      <w:bookmarkStart w:id="148" w:name="__RefHeading___Toc9453_1729075678"/>
      <w:bookmarkEnd w:id="148"/>
      <w:r>
        <w:t>2.  Glossary (Annex A-TBP)</w:t>
      </w:r>
      <w:r>
        <w:rPr>
          <w:b w:val="0"/>
          <w:bCs w:val="0"/>
          <w:color w:val="1A1A1A"/>
          <w:sz w:val="21"/>
          <w:szCs w:val="21"/>
        </w:rPr>
        <w:t xml:space="preserve">   </w:t>
      </w:r>
      <w:r>
        <w:rPr>
          <w:color w:val="C8A24B"/>
          <w:sz w:val="20"/>
          <w:szCs w:val="20"/>
          <w:rtl/>
        </w:rPr>
        <w:t>مسرد الملحق ⁦</w:t>
      </w:r>
      <w:r>
        <w:rPr>
          <w:color w:val="C8A24B"/>
          <w:sz w:val="20"/>
          <w:szCs w:val="20"/>
        </w:rPr>
        <w:t>2</w:t>
      </w:r>
      <w:r>
        <w:rPr>
          <w:color w:val="C8A24B"/>
          <w:sz w:val="20"/>
          <w:szCs w:val="20"/>
          <w:rtl/>
        </w:rPr>
        <w:t>⁩ب</w:t>
      </w:r>
    </w:p>
    <w:p w14:paraId="3A48701D" w14:textId="77777777" w:rsidR="00CD5946" w:rsidRDefault="00000000">
      <w:pPr>
        <w:spacing w:before="20" w:after="60"/>
      </w:pPr>
      <w:r>
        <w:rPr>
          <w:b/>
          <w:color w:val="0E5A50"/>
          <w:sz w:val="20"/>
        </w:rPr>
        <w:t xml:space="preserve">Biological medicinal product — </w:t>
      </w:r>
      <w:r>
        <w:rPr>
          <w:sz w:val="20"/>
        </w:rPr>
        <w:t>A product whose active substance is made by or derived from a biological source and whose characterisation requires a combination of physico-chemical-biological testing together with the production process and its control.</w:t>
      </w:r>
    </w:p>
    <w:p w14:paraId="0801D5F1" w14:textId="77777777" w:rsidR="00CD5946" w:rsidRDefault="00000000">
      <w:pPr>
        <w:spacing w:before="20" w:after="60"/>
      </w:pPr>
      <w:r>
        <w:rPr>
          <w:b/>
          <w:color w:val="0E5A50"/>
          <w:sz w:val="20"/>
        </w:rPr>
        <w:t xml:space="preserve">Inactivation — </w:t>
      </w:r>
      <w:r>
        <w:rPr>
          <w:sz w:val="20"/>
        </w:rPr>
        <w:t>A validated process that destroys or removes the infectivity/pathogenicity of an organism while, for vaccines, retaining the required immunogenicity.</w:t>
      </w:r>
    </w:p>
    <w:p w14:paraId="49792404" w14:textId="77777777" w:rsidR="00CD5946" w:rsidRDefault="00000000">
      <w:pPr>
        <w:spacing w:before="20" w:after="60"/>
      </w:pPr>
      <w:r>
        <w:rPr>
          <w:b/>
          <w:color w:val="0E5A50"/>
          <w:sz w:val="20"/>
        </w:rPr>
        <w:t xml:space="preserve">Seed lot system — </w:t>
      </w:r>
      <w:r>
        <w:rPr>
          <w:sz w:val="20"/>
        </w:rPr>
        <w:t>A system whereby successive batches of a product are derived from the same master seed lot at a defined passage level, to assure consistency and control of adventitious agents.</w:t>
      </w:r>
    </w:p>
    <w:p w14:paraId="47678066" w14:textId="77777777" w:rsidR="00CD5946" w:rsidRDefault="00000000">
      <w:pPr>
        <w:spacing w:before="20" w:after="60"/>
      </w:pPr>
      <w:r>
        <w:rPr>
          <w:b/>
          <w:color w:val="0E5A50"/>
          <w:sz w:val="20"/>
        </w:rPr>
        <w:t xml:space="preserve">Antiserum / antitoxin — </w:t>
      </w:r>
      <w:r>
        <w:rPr>
          <w:sz w:val="20"/>
        </w:rPr>
        <w:t>An immunological preparation containing antibodies obtained from the serum of immunised animals or humans, used for passive immunisation or neutralisation of a toxin.</w:t>
      </w:r>
    </w:p>
    <w:p w14:paraId="68B5A5D0" w14:textId="77777777" w:rsidR="00CD5946" w:rsidRDefault="00000000">
      <w:pPr>
        <w:spacing w:before="20" w:after="60"/>
      </w:pPr>
      <w:r>
        <w:rPr>
          <w:b/>
          <w:color w:val="0E5A50"/>
          <w:sz w:val="20"/>
        </w:rPr>
        <w:t xml:space="preserve">Zoonosis — </w:t>
      </w:r>
      <w:r>
        <w:rPr>
          <w:sz w:val="20"/>
        </w:rPr>
        <w:t>An infection or infectious disease transmissible under natural conditions from vertebrate animals to humans; a key hazard where animal-sourced materials are used.</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700"/>
        <w:gridCol w:w="6660"/>
      </w:tblGrid>
      <w:tr w:rsidR="00CD5946" w14:paraId="485B89FB" w14:textId="77777777">
        <w:trPr>
          <w:tblHeader/>
        </w:trPr>
        <w:tc>
          <w:tcPr>
            <w:tcW w:w="2700" w:type="dxa"/>
            <w:tcBorders>
              <w:top w:val="single" w:sz="2" w:space="0" w:color="BFC9C0"/>
              <w:left w:val="single" w:sz="2" w:space="0" w:color="BFC9C0"/>
              <w:bottom w:val="single" w:sz="2" w:space="0" w:color="BFC9C0"/>
              <w:right w:val="single" w:sz="2" w:space="0" w:color="BFC9C0"/>
            </w:tcBorders>
            <w:shd w:val="clear" w:color="auto" w:fill="0E5A50"/>
          </w:tcPr>
          <w:p w14:paraId="1BA717D2" w14:textId="77777777" w:rsidR="00CD5946" w:rsidRDefault="00000000">
            <w:pPr>
              <w:spacing w:after="0"/>
            </w:pPr>
            <w:r>
              <w:rPr>
                <w:rFonts w:ascii="Arial" w:eastAsia="Arial" w:hAnsi="Arial"/>
                <w:b/>
                <w:bCs/>
                <w:color w:val="FFFFFF"/>
                <w:sz w:val="18"/>
                <w:szCs w:val="18"/>
              </w:rPr>
              <w:t xml:space="preserve">Term / </w:t>
            </w:r>
            <w:r>
              <w:rPr>
                <w:rFonts w:ascii="Arial" w:eastAsia="Arial" w:hAnsi="Arial"/>
                <w:b/>
                <w:bCs/>
                <w:color w:val="FFFFFF"/>
                <w:sz w:val="18"/>
                <w:szCs w:val="18"/>
                <w:rtl/>
              </w:rPr>
              <w:t>المصطلح</w:t>
            </w:r>
          </w:p>
        </w:tc>
        <w:tc>
          <w:tcPr>
            <w:tcW w:w="6660" w:type="dxa"/>
            <w:tcBorders>
              <w:top w:val="single" w:sz="2" w:space="0" w:color="BFC9C0"/>
              <w:left w:val="single" w:sz="2" w:space="0" w:color="BFC9C0"/>
              <w:bottom w:val="single" w:sz="2" w:space="0" w:color="BFC9C0"/>
              <w:right w:val="single" w:sz="2" w:space="0" w:color="BFC9C0"/>
            </w:tcBorders>
            <w:shd w:val="clear" w:color="auto" w:fill="0E5A50"/>
          </w:tcPr>
          <w:p w14:paraId="7449A568" w14:textId="77777777" w:rsidR="00CD5946" w:rsidRDefault="00000000">
            <w:pPr>
              <w:spacing w:after="0"/>
            </w:pPr>
            <w:r>
              <w:rPr>
                <w:rFonts w:ascii="Arial" w:eastAsia="Arial" w:hAnsi="Arial"/>
                <w:b/>
                <w:bCs/>
                <w:color w:val="FFFFFF"/>
                <w:sz w:val="18"/>
                <w:szCs w:val="18"/>
              </w:rPr>
              <w:t xml:space="preserve">Definition / </w:t>
            </w:r>
            <w:r>
              <w:rPr>
                <w:rFonts w:ascii="Arial" w:eastAsia="Arial" w:hAnsi="Arial"/>
                <w:b/>
                <w:bCs/>
                <w:color w:val="FFFFFF"/>
                <w:sz w:val="18"/>
                <w:szCs w:val="18"/>
                <w:rtl/>
              </w:rPr>
              <w:t>التعريف</w:t>
            </w:r>
          </w:p>
        </w:tc>
      </w:tr>
      <w:tr w:rsidR="00CD5946" w14:paraId="4552B0AC"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7AC93E1E" w14:textId="77777777" w:rsidR="00CD5946" w:rsidRDefault="00000000">
            <w:pPr>
              <w:spacing w:after="0"/>
            </w:pPr>
            <w:r>
              <w:rPr>
                <w:rFonts w:ascii="Arial" w:eastAsia="Arial" w:hAnsi="Arial"/>
                <w:b/>
                <w:bCs/>
                <w:color w:val="15512F"/>
                <w:sz w:val="18"/>
                <w:szCs w:val="18"/>
              </w:rPr>
              <w:t>Toxoid</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1561003C" w14:textId="77777777" w:rsidR="00CD5946" w:rsidRDefault="00000000">
            <w:pPr>
              <w:spacing w:after="0"/>
            </w:pPr>
            <w:r>
              <w:rPr>
                <w:rFonts w:ascii="Arial" w:eastAsia="Arial" w:hAnsi="Arial"/>
                <w:color w:val="1A1A1A"/>
                <w:sz w:val="18"/>
                <w:szCs w:val="18"/>
              </w:rPr>
              <w:t xml:space="preserve">A toxin treated to remove toxicity while retaining immunogenicity. / </w:t>
            </w:r>
            <w:r>
              <w:rPr>
                <w:rFonts w:ascii="Arial" w:eastAsia="Arial" w:hAnsi="Arial"/>
                <w:color w:val="1A1A1A"/>
                <w:sz w:val="18"/>
                <w:szCs w:val="18"/>
                <w:rtl/>
              </w:rPr>
              <w:t>سمّ مُعالَج لإزالة السميّة مع حفظ المناعية</w:t>
            </w:r>
            <w:r>
              <w:rPr>
                <w:rFonts w:ascii="Arial" w:eastAsia="Arial" w:hAnsi="Arial"/>
                <w:color w:val="1A1A1A"/>
                <w:sz w:val="18"/>
                <w:szCs w:val="18"/>
              </w:rPr>
              <w:t>.</w:t>
            </w:r>
          </w:p>
        </w:tc>
      </w:tr>
      <w:tr w:rsidR="00CD5946" w14:paraId="1598E059"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10509D24" w14:textId="77777777" w:rsidR="00CD5946" w:rsidRDefault="00000000">
            <w:pPr>
              <w:spacing w:after="0"/>
            </w:pPr>
            <w:r>
              <w:rPr>
                <w:rFonts w:ascii="Arial" w:eastAsia="Arial" w:hAnsi="Arial"/>
                <w:b/>
                <w:bCs/>
                <w:color w:val="15512F"/>
                <w:sz w:val="18"/>
                <w:szCs w:val="18"/>
              </w:rPr>
              <w:lastRenderedPageBreak/>
              <w:t>Inactivation</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7FA91BB5" w14:textId="77777777" w:rsidR="00CD5946" w:rsidRDefault="00000000">
            <w:pPr>
              <w:spacing w:after="0"/>
            </w:pPr>
            <w:r>
              <w:rPr>
                <w:rFonts w:ascii="Arial" w:eastAsia="Arial" w:hAnsi="Arial"/>
                <w:color w:val="1A1A1A"/>
                <w:sz w:val="18"/>
                <w:szCs w:val="18"/>
              </w:rPr>
              <w:t xml:space="preserve">A validated step that renders a live organism non-infectious while preserving the required antigenic properties. / </w:t>
            </w:r>
            <w:r>
              <w:rPr>
                <w:rFonts w:ascii="Arial" w:eastAsia="Arial" w:hAnsi="Arial"/>
                <w:color w:val="1A1A1A"/>
                <w:sz w:val="18"/>
                <w:szCs w:val="18"/>
                <w:rtl/>
              </w:rPr>
              <w:t>خطوة مُتحقّقة تجعل الكائن غير معدٍ</w:t>
            </w:r>
            <w:r>
              <w:rPr>
                <w:rFonts w:ascii="Arial" w:eastAsia="Arial" w:hAnsi="Arial"/>
                <w:color w:val="1A1A1A"/>
                <w:sz w:val="18"/>
                <w:szCs w:val="18"/>
              </w:rPr>
              <w:t>.</w:t>
            </w:r>
          </w:p>
        </w:tc>
      </w:tr>
      <w:tr w:rsidR="00CD5946" w14:paraId="29A736D9"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24E377E5" w14:textId="77777777" w:rsidR="00CD5946" w:rsidRDefault="00000000">
            <w:pPr>
              <w:spacing w:after="0"/>
            </w:pPr>
            <w:r>
              <w:rPr>
                <w:rFonts w:ascii="Arial" w:eastAsia="Arial" w:hAnsi="Arial"/>
                <w:b/>
                <w:bCs/>
                <w:color w:val="15512F"/>
                <w:sz w:val="18"/>
                <w:szCs w:val="18"/>
              </w:rPr>
              <w:t>Antitoxin / antiserum</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457B638F" w14:textId="77777777" w:rsidR="00CD5946" w:rsidRDefault="00000000">
            <w:pPr>
              <w:spacing w:after="0"/>
            </w:pPr>
            <w:r>
              <w:rPr>
                <w:rFonts w:ascii="Arial" w:eastAsia="Arial" w:hAnsi="Arial"/>
                <w:color w:val="1A1A1A"/>
                <w:sz w:val="18"/>
                <w:szCs w:val="18"/>
              </w:rPr>
              <w:t xml:space="preserve">A preparation containing antibodies against a specific toxin or organism. / </w:t>
            </w:r>
            <w:r>
              <w:rPr>
                <w:rFonts w:ascii="Arial" w:eastAsia="Arial" w:hAnsi="Arial"/>
                <w:color w:val="1A1A1A"/>
                <w:sz w:val="18"/>
                <w:szCs w:val="18"/>
                <w:rtl/>
              </w:rPr>
              <w:t>مستحضر يحوي أضداداً لسمّ أو كائن</w:t>
            </w:r>
            <w:r>
              <w:rPr>
                <w:rFonts w:ascii="Arial" w:eastAsia="Arial" w:hAnsi="Arial"/>
                <w:color w:val="1A1A1A"/>
                <w:sz w:val="18"/>
                <w:szCs w:val="18"/>
              </w:rPr>
              <w:t>.</w:t>
            </w:r>
          </w:p>
        </w:tc>
      </w:tr>
    </w:tbl>
    <w:p w14:paraId="0EEFEAC4" w14:textId="77777777" w:rsidR="00CD5946" w:rsidRDefault="00000000">
      <w:pPr>
        <w:spacing w:before="260" w:after="0"/>
        <w:jc w:val="center"/>
      </w:pPr>
      <w:r>
        <w:rPr>
          <w:noProof/>
        </w:rPr>
        <w:drawing>
          <wp:inline distT="0" distB="0" distL="0" distR="0" wp14:anchorId="47675FA6" wp14:editId="63CD3B32">
            <wp:extent cx="876300" cy="1238250"/>
            <wp:effectExtent l="0" t="0" r="0" b="0"/>
            <wp:docPr id="7" name="Image6"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250E2311" w14:textId="77777777" w:rsidR="00CD5946" w:rsidRDefault="00000000">
      <w:pPr>
        <w:spacing w:before="50" w:after="0"/>
        <w:jc w:val="center"/>
      </w:pPr>
      <w:r>
        <w:rPr>
          <w:rFonts w:ascii="Arial" w:eastAsia="Arial" w:hAnsi="Arial"/>
          <w:b/>
          <w:bCs/>
          <w:color w:val="15512F"/>
          <w:sz w:val="19"/>
          <w:szCs w:val="19"/>
        </w:rPr>
        <w:t>AUPAM EXPERTS' OFFICE</w:t>
      </w:r>
    </w:p>
    <w:p w14:paraId="2A64100E"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5BC8AA7F" w14:textId="77777777" w:rsidR="00CD5946" w:rsidRDefault="00000000">
      <w:pPr>
        <w:spacing w:before="10" w:after="0"/>
        <w:jc w:val="center"/>
      </w:pPr>
      <w:r>
        <w:rPr>
          <w:rFonts w:ascii="Arial" w:eastAsia="Arial" w:hAnsi="Arial"/>
          <w:b/>
          <w:bCs/>
          <w:color w:val="B08C37"/>
          <w:sz w:val="24"/>
          <w:szCs w:val="24"/>
        </w:rPr>
        <w:t>2026 EDITION</w:t>
      </w:r>
    </w:p>
    <w:p w14:paraId="3C41B9EE" w14:textId="77777777" w:rsidR="00CD5946" w:rsidRDefault="00000000">
      <w:pPr>
        <w:spacing w:before="260" w:after="0"/>
        <w:jc w:val="center"/>
      </w:pPr>
      <w:r>
        <w:rPr>
          <w:rFonts w:ascii="Arial" w:eastAsia="Arial" w:hAnsi="Arial"/>
          <w:b/>
          <w:bCs/>
          <w:color w:val="15512F"/>
          <w:sz w:val="54"/>
          <w:szCs w:val="54"/>
        </w:rPr>
        <w:t>ANNEX A-BIO</w:t>
      </w:r>
    </w:p>
    <w:p w14:paraId="4086B99A" w14:textId="77777777" w:rsidR="00CD5946" w:rsidRDefault="00000000">
      <w:pPr>
        <w:spacing w:before="40" w:after="0"/>
        <w:jc w:val="center"/>
      </w:pPr>
      <w:r>
        <w:rPr>
          <w:rFonts w:ascii="Arial" w:eastAsia="Arial" w:hAnsi="Arial"/>
          <w:b/>
          <w:bCs/>
          <w:color w:val="1A1A1A"/>
          <w:sz w:val="28"/>
          <w:szCs w:val="28"/>
        </w:rPr>
        <w:t>Similar Biotherapeutic Products (Biosimilars)</w:t>
      </w:r>
    </w:p>
    <w:p w14:paraId="0B8B1021" w14:textId="77777777" w:rsidR="00CD5946" w:rsidRDefault="00000000">
      <w:pPr>
        <w:spacing w:before="16" w:after="0"/>
        <w:jc w:val="center"/>
      </w:pPr>
      <w:r>
        <w:rPr>
          <w:rFonts w:ascii="Arial" w:eastAsia="Arial" w:hAnsi="Arial"/>
          <w:color w:val="5A5A5A"/>
          <w:sz w:val="22"/>
          <w:szCs w:val="22"/>
        </w:rPr>
        <w:t>Quality comparability · control · clinical bridging · EN | AR</w:t>
      </w:r>
    </w:p>
    <w:p w14:paraId="70F68AE4" w14:textId="77777777" w:rsidR="00CD5946" w:rsidRDefault="00000000">
      <w:pPr>
        <w:spacing w:before="26" w:after="0"/>
        <w:jc w:val="center"/>
      </w:pPr>
      <w:r>
        <w:rPr>
          <w:rFonts w:ascii="Arial" w:eastAsia="Arial" w:hAnsi="Arial"/>
          <w:b/>
          <w:bCs/>
          <w:color w:val="15512F"/>
          <w:sz w:val="22"/>
          <w:szCs w:val="22"/>
          <w:rtl/>
        </w:rPr>
        <w:t>الملحق العربي</w:t>
      </w:r>
      <w:r>
        <w:rPr>
          <w:rFonts w:ascii="Arial" w:eastAsia="Arial" w:hAnsi="Arial"/>
          <w:b/>
          <w:bCs/>
          <w:color w:val="15512F"/>
          <w:sz w:val="22"/>
          <w:szCs w:val="22"/>
        </w:rPr>
        <w:t xml:space="preserve"> A-BIO — </w:t>
      </w:r>
      <w:r>
        <w:rPr>
          <w:rFonts w:ascii="Arial" w:eastAsia="Arial" w:hAnsi="Arial"/>
          <w:b/>
          <w:bCs/>
          <w:color w:val="15512F"/>
          <w:sz w:val="22"/>
          <w:szCs w:val="22"/>
          <w:rtl/>
        </w:rPr>
        <w:t>المثائل الحيوية</w:t>
      </w:r>
    </w:p>
    <w:p w14:paraId="3D3B42EA"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2582EF0A" w14:textId="77777777" w:rsidR="00CD5946" w:rsidRDefault="00000000">
      <w:r>
        <w:br w:type="page"/>
      </w:r>
    </w:p>
    <w:p w14:paraId="2B1918EB" w14:textId="77777777" w:rsidR="00CD5946" w:rsidRDefault="00000000">
      <w:pPr>
        <w:pStyle w:val="Heading1"/>
        <w:spacing w:before="0"/>
      </w:pPr>
      <w:bookmarkStart w:id="149" w:name="__RefHeading___Toc9455_1729075678"/>
      <w:bookmarkEnd w:id="149"/>
      <w:r>
        <w:lastRenderedPageBreak/>
        <w:t>Contents</w:t>
      </w:r>
    </w:p>
    <w:sdt>
      <w:sdtPr>
        <w:id w:val="-990702091"/>
        <w:docPartObj>
          <w:docPartGallery w:val="Table of Contents"/>
          <w:docPartUnique/>
        </w:docPartObj>
      </w:sdtPr>
      <w:sdtContent>
        <w:p w14:paraId="7CDDB161"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5FEAD76A"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4F56DD0A"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526AB92D"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634EC671"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601FC7BF"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3E3EDD67"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0CC08B4B"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51AC6BAD"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5EABA4DC"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79E08407"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35360744"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74C185F4"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3F3CE211"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1DB98CE8"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725F54E1"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4E482935"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4161BEA1"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5DDB014D"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35CDC682"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32453368"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23D1EFE1"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47EC4F13"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4FA2588E"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222C1275"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0FCCE84D"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42F884A0"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5304BFDF"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7841AE5E"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0ACB3C9F"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31E1459A"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2A37F45F"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3FA6A8AB"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77A17EE3"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098DB158"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1BD93F95"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7868FCF5"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6EBD4E4B"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6F7186DC"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714F8A40"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13779B7C"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6E949C9D"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5649388E"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520B93CD"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2131EEC0"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13A0F5F9"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21090A1B"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72D56D92"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00D969FC"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2FC3AA69"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006D4B07"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7BE3F217"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72CB5ACC"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7E672A3C"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56CC2FD0"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72532DAE"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7C0C545C"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000D39D9"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1670E704"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045B4C3D"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3D8881BE"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38E6258B"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703B0CC0"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246517FD"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555610A9"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61CA15BC"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20B0AE2E"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3516EF3B"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4BE48014"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18124A59"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10BAEBF6"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6DFAF59C"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4FAD592F"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48432F20" w14:textId="77777777" w:rsidR="00CD5946" w:rsidRDefault="00CD5946"/>
    <w:p w14:paraId="5473AA4D" w14:textId="77777777" w:rsidR="00CD5946" w:rsidRDefault="00000000">
      <w:pPr>
        <w:pStyle w:val="Heading1"/>
      </w:pPr>
      <w:bookmarkStart w:id="150" w:name="__RefHeading___Toc9457_1729075678"/>
      <w:bookmarkEnd w:id="150"/>
      <w:r>
        <w:t xml:space="preserve">Arab Annex A-BIO — Biosimilars (Similar Biotherapeutic Products)  ·  </w:t>
      </w:r>
      <w:r>
        <w:rPr>
          <w:rtl/>
        </w:rPr>
        <w:t>الملحق العربي</w:t>
      </w:r>
      <w:r>
        <w:t xml:space="preserve"> A-BIO — </w:t>
      </w:r>
      <w:r>
        <w:rPr>
          <w:rtl/>
        </w:rPr>
        <w:t>المنتجات العلاجية الحيوية المماثلة (المثائل الحيوية)</w:t>
      </w:r>
    </w:p>
    <w:p w14:paraId="74593758" w14:textId="77777777" w:rsidR="00CD5946" w:rsidRDefault="00000000">
      <w:pPr>
        <w:spacing w:before="10" w:after="150"/>
      </w:pPr>
      <w:r>
        <w:rPr>
          <w:rFonts w:ascii="Arial" w:eastAsia="Arial" w:hAnsi="Arial"/>
          <w:b/>
          <w:bCs/>
          <w:color w:val="C8A24B"/>
          <w:sz w:val="17"/>
          <w:szCs w:val="17"/>
        </w:rPr>
        <w:t xml:space="preserve">Harmonised with: </w:t>
      </w:r>
      <w:r>
        <w:rPr>
          <w:rFonts w:ascii="Arial" w:eastAsia="Arial" w:hAnsi="Arial"/>
          <w:i/>
          <w:iCs/>
          <w:color w:val="5A5A5A"/>
          <w:sz w:val="17"/>
          <w:szCs w:val="17"/>
        </w:rPr>
        <w:t>WHO TRS 1043 Annex 3 (2022; supersedes TRS 977 Annex 2) · EMA CHMP/437/04 Rev.1 and product-class guidelines · US FDA BPCIA §351(k) and biosimilar guidances · ICH Q5A–Q5E, Q6B, Q11, Q14 · SFDA Biosimilar Guideline · EU GMP Annex 2 (2018)</w:t>
      </w:r>
    </w:p>
    <w:p w14:paraId="1DAD0FF9" w14:textId="77777777" w:rsidR="00CD5946" w:rsidRDefault="00000000">
      <w:pPr>
        <w:pBdr>
          <w:left w:val="single" w:sz="16" w:space="8" w:color="C8A24B"/>
        </w:pBdr>
        <w:spacing w:after="40"/>
        <w:ind w:left="160"/>
      </w:pPr>
      <w:r>
        <w:rPr>
          <w:rFonts w:ascii="Arial" w:eastAsia="Arial" w:hAnsi="Arial"/>
          <w:b/>
          <w:bCs/>
          <w:color w:val="C8A24B"/>
        </w:rPr>
        <w:t xml:space="preserve">Principle.  </w:t>
      </w:r>
      <w:r>
        <w:rPr>
          <w:rFonts w:ascii="Arial" w:eastAsia="Arial" w:hAnsi="Arial"/>
          <w:color w:val="1A1A1A"/>
        </w:rPr>
        <w:t>A Similar Biotherapeutic Product (SBP, or biosimilar) is a biotherapeutic product that is highly similar to an already-licensed reference biotherapeutic product (RBP) in terms of quality, safety and efficacy. Because biotherapeutics cannot be fully characterised by analytical means alone and are sensitive to the manufacturing process, a biosimilar is not a generic copy; licensure is based on a stepwise comparability exercise that begins with a comprehensive analytical (quality) comparison and proceeds, on a risk basis, to non-clinical and clinical confirmation. The goal of biosimilar development is to demonstrate biosimilarity, not to re-establish benefit independently. This Annex sets out the GMP and quality-comparability expectations; clinical and pharmacovigilance requirements are governed by the corresponding clinical guidance.</w:t>
      </w:r>
    </w:p>
    <w:p w14:paraId="134A979B" w14:textId="77777777" w:rsidR="00CD5946" w:rsidRDefault="00000000">
      <w:pPr>
        <w:bidi/>
        <w:spacing w:after="150"/>
        <w:ind w:right="160"/>
        <w:jc w:val="right"/>
      </w:pPr>
      <w:r>
        <w:rPr>
          <w:rFonts w:ascii="Arial" w:eastAsia="Arial" w:hAnsi="Arial"/>
          <w:b/>
          <w:bCs/>
          <w:color w:val="C8A24B"/>
          <w:sz w:val="20"/>
          <w:szCs w:val="20"/>
          <w:rtl/>
        </w:rPr>
        <w:t xml:space="preserve">المبدأ. </w:t>
      </w:r>
      <w:r>
        <w:rPr>
          <w:rFonts w:ascii="Arial" w:eastAsia="Arial" w:hAnsi="Arial"/>
          <w:color w:val="333333"/>
          <w:sz w:val="20"/>
          <w:szCs w:val="20"/>
          <w:rtl/>
        </w:rPr>
        <w:t>المنتج العلاجي الحيوي المماثل (</w:t>
      </w:r>
      <w:r>
        <w:rPr>
          <w:rFonts w:ascii="Arial" w:eastAsia="Arial" w:hAnsi="Arial"/>
          <w:color w:val="333333"/>
          <w:sz w:val="20"/>
          <w:szCs w:val="20"/>
        </w:rPr>
        <w:t>SBP</w:t>
      </w:r>
      <w:r>
        <w:rPr>
          <w:rFonts w:ascii="Arial" w:eastAsia="Arial" w:hAnsi="Arial"/>
          <w:color w:val="333333"/>
          <w:sz w:val="20"/>
          <w:szCs w:val="20"/>
          <w:rtl/>
        </w:rPr>
        <w:t xml:space="preserve"> أو المثيل الحيوي) منتج مماثِل بدرجة عالية لمنتج مرجعي مُرخّص (</w:t>
      </w:r>
      <w:r>
        <w:rPr>
          <w:rFonts w:ascii="Arial" w:eastAsia="Arial" w:hAnsi="Arial"/>
          <w:color w:val="333333"/>
          <w:sz w:val="20"/>
          <w:szCs w:val="20"/>
        </w:rPr>
        <w:t>RBP</w:t>
      </w:r>
      <w:r>
        <w:rPr>
          <w:rFonts w:ascii="Arial" w:eastAsia="Arial" w:hAnsi="Arial"/>
          <w:color w:val="333333"/>
          <w:sz w:val="20"/>
          <w:szCs w:val="20"/>
          <w:rtl/>
        </w:rPr>
        <w:t xml:space="preserve">) في الجودة والسلامة والفعالية. ولأنّ المنتجات الحيوية لا تُوصّف بالكامل تحليليّاً وتتأثّر بالعملية، فإنّ المثيل الحيوي ليس نسخة جنيسة؛ ويستند الترخيص إلى برهان تدريجي للقابلية للمقارنة يبدأ بمقارنة تحليلية شاملة ثمّ ينتقل على أساس المخاطر إلى التأكيد غير السريري والسريري. والهدف إثبات المماثلة لا إعادة إثبات المنفعة. ويحدّد هذا الملحق توقّعات </w:t>
      </w:r>
      <w:r>
        <w:rPr>
          <w:rFonts w:ascii="Arial" w:eastAsia="Arial" w:hAnsi="Arial"/>
          <w:color w:val="333333"/>
          <w:sz w:val="20"/>
          <w:szCs w:val="20"/>
        </w:rPr>
        <w:t>GMP</w:t>
      </w:r>
      <w:r>
        <w:rPr>
          <w:rFonts w:ascii="Arial" w:eastAsia="Arial" w:hAnsi="Arial"/>
          <w:color w:val="333333"/>
          <w:sz w:val="20"/>
          <w:szCs w:val="20"/>
          <w:rtl/>
        </w:rPr>
        <w:t xml:space="preserve"> والقابلية للمقارنة الجودة؛ أمّا المتطلبات السريرية فتحكمها الإرشادات السريرية.</w:t>
      </w:r>
    </w:p>
    <w:p w14:paraId="2FA6C81C" w14:textId="77777777" w:rsidR="00CD5946" w:rsidRDefault="00000000">
      <w:pPr>
        <w:pBdr>
          <w:left w:val="single" w:sz="10" w:space="8" w:color="CFCFCF"/>
        </w:pBdr>
        <w:spacing w:before="60" w:after="30"/>
        <w:ind w:left="160"/>
      </w:pPr>
      <w:r>
        <w:rPr>
          <w:rFonts w:ascii="Arial" w:eastAsia="Arial" w:hAnsi="Arial"/>
          <w:b/>
          <w:bCs/>
          <w:color w:val="15512F"/>
          <w:sz w:val="20"/>
          <w:szCs w:val="20"/>
        </w:rPr>
        <w:t xml:space="preserve">Scope.  </w:t>
      </w:r>
      <w:r>
        <w:rPr>
          <w:rFonts w:ascii="Arial" w:eastAsia="Arial" w:hAnsi="Arial"/>
          <w:color w:val="1A1A1A"/>
          <w:sz w:val="20"/>
          <w:szCs w:val="20"/>
        </w:rPr>
        <w:t>This Annex applies to similar biotherapeutic products containing well-characterised proteins as the active substance (for example recombinant proteins and monoclonal antibodies). It is read together with Annex 2B (biological manufacture). It does not, of itself, set the clinical-trial requirements; these are determined by the applicable clinical and pharmacovigilance guidance and by the competent authority.</w:t>
      </w:r>
    </w:p>
    <w:p w14:paraId="2C57B9DB" w14:textId="77777777" w:rsidR="00CD5946" w:rsidRDefault="00000000">
      <w:pPr>
        <w:bidi/>
        <w:spacing w:after="150"/>
        <w:ind w:right="160"/>
        <w:jc w:val="right"/>
      </w:pPr>
      <w:r>
        <w:rPr>
          <w:rFonts w:ascii="Arial" w:eastAsia="Arial" w:hAnsi="Arial"/>
          <w:b/>
          <w:bCs/>
          <w:color w:val="15512F"/>
          <w:sz w:val="20"/>
          <w:szCs w:val="20"/>
          <w:rtl/>
        </w:rPr>
        <w:t xml:space="preserve">النطاق. </w:t>
      </w:r>
      <w:r>
        <w:rPr>
          <w:rFonts w:ascii="Arial" w:eastAsia="Arial" w:hAnsi="Arial"/>
          <w:color w:val="333333"/>
          <w:sz w:val="20"/>
          <w:szCs w:val="20"/>
          <w:rtl/>
        </w:rPr>
        <w:t>ينطبق هذا الملحق على المنتجات العلاجية الحيوية المماثلة التي تحوي بروتينات جيّدة التوصيف (كالبروتينات المُعاد اتحادها والأجسام وحيدة النسيلة)، ويُقرأ مع الملحق ⁦</w:t>
      </w:r>
      <w:r>
        <w:rPr>
          <w:rFonts w:ascii="Arial" w:eastAsia="Arial" w:hAnsi="Arial"/>
          <w:color w:val="333333"/>
          <w:sz w:val="20"/>
          <w:szCs w:val="20"/>
        </w:rPr>
        <w:t>2</w:t>
      </w:r>
      <w:r>
        <w:rPr>
          <w:rFonts w:ascii="Arial" w:eastAsia="Arial" w:hAnsi="Arial"/>
          <w:color w:val="333333"/>
          <w:sz w:val="20"/>
          <w:szCs w:val="20"/>
          <w:rtl/>
        </w:rPr>
        <w:t>⁩أ. ولا يُحدّد بذاته متطلبات التجارب السريرية؛ فهي تحدّدها الإرشادات السريرية والسلطة المختصّة.</w:t>
      </w:r>
    </w:p>
    <w:p w14:paraId="3C81DEAD" w14:textId="77777777" w:rsidR="00CD5946" w:rsidRDefault="00000000">
      <w:pPr>
        <w:pStyle w:val="Heading2"/>
        <w:spacing w:before="220"/>
      </w:pPr>
      <w:bookmarkStart w:id="151" w:name="__RefHeading___Toc9459_1729075678"/>
      <w:bookmarkEnd w:id="151"/>
      <w:r>
        <w:lastRenderedPageBreak/>
        <w:t>1.  The reference product</w:t>
      </w:r>
      <w:r>
        <w:rPr>
          <w:b w:val="0"/>
          <w:bCs w:val="0"/>
          <w:color w:val="1A1A1A"/>
          <w:sz w:val="21"/>
          <w:szCs w:val="21"/>
        </w:rPr>
        <w:t xml:space="preserve">   </w:t>
      </w:r>
      <w:r>
        <w:rPr>
          <w:color w:val="C8A24B"/>
          <w:sz w:val="20"/>
          <w:szCs w:val="20"/>
          <w:rtl/>
        </w:rPr>
        <w:t>المنتج المرجعي</w:t>
      </w:r>
    </w:p>
    <w:p w14:paraId="5D485DB3" w14:textId="77777777" w:rsidR="00CD5946" w:rsidRDefault="00000000">
      <w:pPr>
        <w:spacing w:after="40" w:line="266" w:lineRule="auto"/>
        <w:ind w:left="300" w:hanging="300"/>
      </w:pPr>
      <w:r>
        <w:rPr>
          <w:rFonts w:ascii="Arial" w:eastAsia="Arial" w:hAnsi="Arial"/>
          <w:b/>
          <w:bCs/>
          <w:color w:val="15512F"/>
        </w:rPr>
        <w:t xml:space="preserve">1.1  </w:t>
      </w:r>
      <w:r>
        <w:rPr>
          <w:rFonts w:ascii="Arial" w:eastAsia="Arial" w:hAnsi="Arial"/>
          <w:color w:val="1A1A1A"/>
        </w:rPr>
        <w:t>A single reference biotherapeutic product, licensed on the basis of a full registration dossier, shall be used as the comparator throughout the comparability exercise (quality, non-clinical and clinical). The same reference product shall be used throughout; where a non-domestically-sourced reference product is used, the bridging to the locally-authorised product shall be justified and accepted by the authority. The choice of reference product, its sourcing and the analysis of multiple lots to capture its quality range shall be documented.</w:t>
      </w:r>
    </w:p>
    <w:p w14:paraId="3C3F877A" w14:textId="77777777" w:rsidR="00CD5946" w:rsidRDefault="00000000">
      <w:pPr>
        <w:bidi/>
        <w:spacing w:after="150" w:line="300" w:lineRule="auto"/>
        <w:ind w:right="300" w:hanging="300"/>
        <w:jc w:val="right"/>
      </w:pPr>
      <w:r>
        <w:rPr>
          <w:rFonts w:ascii="Arial" w:eastAsia="Arial" w:hAnsi="Arial"/>
          <w:color w:val="333333"/>
          <w:sz w:val="20"/>
          <w:szCs w:val="20"/>
          <w:rtl/>
        </w:rPr>
        <w:t>يُستخدم منتج مرجعي واحد مُرخّص بملف كامل كمقارِن طوال تمرين المقارنة (الجودة وغير السريري والسريري)، ويُثبت الجسر إلى المنتج المُرخّص محليّاً عند استخدام مصدر أجنبي. ويُوثّق اختيار المنتج المرجعي ومصدره وتحليل دفعات متعدّدة لتحديد نطاق جودته.</w:t>
      </w:r>
      <w:r>
        <w:rPr>
          <w:rFonts w:ascii="Arial" w:eastAsia="Arial" w:hAnsi="Arial"/>
          <w:b/>
          <w:bCs/>
          <w:color w:val="15512F"/>
          <w:sz w:val="20"/>
          <w:szCs w:val="20"/>
          <w:rtl/>
        </w:rPr>
        <w:t xml:space="preserve">  ⁦</w:t>
      </w:r>
      <w:r>
        <w:rPr>
          <w:rFonts w:ascii="Arial" w:eastAsia="Arial" w:hAnsi="Arial"/>
          <w:b/>
          <w:bCs/>
          <w:color w:val="15512F"/>
          <w:sz w:val="20"/>
          <w:szCs w:val="20"/>
        </w:rPr>
        <w:t>1.1</w:t>
      </w:r>
      <w:r>
        <w:rPr>
          <w:rFonts w:ascii="Arial" w:eastAsia="Arial" w:hAnsi="Arial"/>
          <w:b/>
          <w:bCs/>
          <w:color w:val="15512F"/>
          <w:sz w:val="20"/>
          <w:szCs w:val="20"/>
          <w:rtl/>
        </w:rPr>
        <w:t>⁩</w:t>
      </w:r>
    </w:p>
    <w:p w14:paraId="6C3D18ED" w14:textId="77777777" w:rsidR="00CD5946" w:rsidRDefault="00000000">
      <w:pPr>
        <w:pStyle w:val="Heading2"/>
        <w:spacing w:before="220"/>
      </w:pPr>
      <w:bookmarkStart w:id="152" w:name="__RefHeading___Toc9461_1729075678"/>
      <w:bookmarkEnd w:id="152"/>
      <w:r>
        <w:t>2.  Quality (analytical) comparability</w:t>
      </w:r>
      <w:r>
        <w:rPr>
          <w:b w:val="0"/>
          <w:bCs w:val="0"/>
          <w:color w:val="1A1A1A"/>
          <w:sz w:val="21"/>
          <w:szCs w:val="21"/>
        </w:rPr>
        <w:t xml:space="preserve">   </w:t>
      </w:r>
      <w:r>
        <w:rPr>
          <w:color w:val="C8A24B"/>
          <w:sz w:val="20"/>
          <w:szCs w:val="20"/>
          <w:rtl/>
        </w:rPr>
        <w:t>القابلية للمقارنة التحليلية</w:t>
      </w:r>
    </w:p>
    <w:p w14:paraId="7EF2327B" w14:textId="77777777" w:rsidR="00CD5946" w:rsidRDefault="00000000">
      <w:pPr>
        <w:spacing w:after="40" w:line="266" w:lineRule="auto"/>
        <w:ind w:left="300" w:hanging="300"/>
      </w:pPr>
      <w:r>
        <w:rPr>
          <w:rFonts w:ascii="Arial" w:eastAsia="Arial" w:hAnsi="Arial"/>
          <w:b/>
          <w:bCs/>
          <w:color w:val="15512F"/>
        </w:rPr>
        <w:t xml:space="preserve">2.1  </w:t>
      </w:r>
      <w:r>
        <w:rPr>
          <w:rFonts w:ascii="Arial" w:eastAsia="Arial" w:hAnsi="Arial"/>
          <w:color w:val="1A1A1A"/>
        </w:rPr>
        <w:t>The foundation of biosimilarity is a comprehensive head-to-head analytical comparison of the biosimilar and the reference product, using state-of-the-art, orthogonal methods sensitive to differences in the primary and higher-order structure, post-translational modifications (such as glycosylation), charge and size variants, aggregates, and the relevant biological activities. The comparison shall span multiple lots of both products and shall define the quality target product profile (QTPP) and the similarity acceptance ranges, derived from the reference product’s observed variability.</w:t>
      </w:r>
    </w:p>
    <w:p w14:paraId="2C879896" w14:textId="77777777" w:rsidR="00CD5946" w:rsidRDefault="00000000">
      <w:pPr>
        <w:bidi/>
        <w:spacing w:after="150" w:line="300" w:lineRule="auto"/>
        <w:ind w:right="300" w:hanging="300"/>
        <w:jc w:val="right"/>
      </w:pPr>
      <w:r>
        <w:rPr>
          <w:rFonts w:ascii="Arial" w:eastAsia="Arial" w:hAnsi="Arial"/>
          <w:color w:val="333333"/>
          <w:sz w:val="20"/>
          <w:szCs w:val="20"/>
          <w:rtl/>
        </w:rPr>
        <w:t>أساس المماثلة الحيوية مقارنة تحليلية شاملة وجهاً لوجه بين المثيل والمرجعي، بطرائق متعامدة حديثة حسّاسة للفروق في البنية الأوّلية والعليا، والتعديلات بعد الترجمة (كالغليكوزة)، ومتغايرات الشحنة والحجم والتجمّعات والفعاليات الحيوية. وتمتدّ عبر دفعات متعدّدة، وتُحدّد ملف الجودة المستهدف (</w:t>
      </w:r>
      <w:r>
        <w:rPr>
          <w:rFonts w:ascii="Arial" w:eastAsia="Arial" w:hAnsi="Arial"/>
          <w:color w:val="333333"/>
          <w:sz w:val="20"/>
          <w:szCs w:val="20"/>
        </w:rPr>
        <w:t>QTPP</w:t>
      </w:r>
      <w:r>
        <w:rPr>
          <w:rFonts w:ascii="Arial" w:eastAsia="Arial" w:hAnsi="Arial"/>
          <w:color w:val="333333"/>
          <w:sz w:val="20"/>
          <w:szCs w:val="20"/>
          <w:rtl/>
        </w:rPr>
        <w:t>) ونطاقات قبول التشابه المستمدّة من تباين المرجعي.</w:t>
      </w:r>
      <w:r>
        <w:rPr>
          <w:rFonts w:ascii="Arial" w:eastAsia="Arial" w:hAnsi="Arial"/>
          <w:b/>
          <w:bCs/>
          <w:color w:val="15512F"/>
          <w:sz w:val="20"/>
          <w:szCs w:val="20"/>
          <w:rtl/>
        </w:rPr>
        <w:t xml:space="preserve">  ⁦</w:t>
      </w:r>
      <w:r>
        <w:rPr>
          <w:rFonts w:ascii="Arial" w:eastAsia="Arial" w:hAnsi="Arial"/>
          <w:b/>
          <w:bCs/>
          <w:color w:val="15512F"/>
          <w:sz w:val="20"/>
          <w:szCs w:val="20"/>
        </w:rPr>
        <w:t>2.1</w:t>
      </w:r>
      <w:r>
        <w:rPr>
          <w:rFonts w:ascii="Arial" w:eastAsia="Arial" w:hAnsi="Arial"/>
          <w:b/>
          <w:bCs/>
          <w:color w:val="15512F"/>
          <w:sz w:val="20"/>
          <w:szCs w:val="20"/>
          <w:rtl/>
        </w:rPr>
        <w:t>⁩</w:t>
      </w:r>
    </w:p>
    <w:p w14:paraId="68F58EBA" w14:textId="77777777" w:rsidR="00CD5946" w:rsidRDefault="00000000">
      <w:pPr>
        <w:pBdr>
          <w:left w:val="single" w:sz="6" w:space="8" w:color="CFCFCF"/>
        </w:pBd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Analytical similarity is the most sensitive part of the comparison: modern physicochemical and functional methods detect differences far smaller than a clinical study could. Consequently, where the analytical and functional comparison is strong, the residual uncertainty to be resolved clinically is correspondingly reduced — the basis for a tailored, often abbreviated, clinical programme.</w:t>
      </w:r>
    </w:p>
    <w:p w14:paraId="2F71666A" w14:textId="77777777" w:rsidR="00CD5946" w:rsidRDefault="00000000">
      <w:pPr>
        <w:bidi/>
        <w:spacing w:after="140"/>
        <w:ind w:right="300"/>
        <w:jc w:val="right"/>
      </w:pPr>
      <w:r>
        <w:rPr>
          <w:rFonts w:ascii="Arial" w:eastAsia="Arial" w:hAnsi="Arial"/>
          <w:color w:val="5A5A5A"/>
          <w:sz w:val="18"/>
          <w:szCs w:val="18"/>
          <w:rtl/>
        </w:rPr>
        <w:t>التشابه التحليلي أدقّ أجزاء المقارنة؛ فالطرائق الفيزيائية-الكيميائية والوظيفية تكشف فروقاً أصغر بكثير ممّا تكشفه دراسة سريرية. وبالتالي حيث تكون المقارنة قوية تقلّ الشكوك المتبقية التي تُحلّ سريريّاً — أساس برنامج سريري مُفصّل غالباً مختصر.</w:t>
      </w:r>
      <w:r>
        <w:rPr>
          <w:rFonts w:ascii="Arial" w:eastAsia="Arial" w:hAnsi="Arial"/>
          <w:b/>
          <w:bCs/>
          <w:color w:val="5A5A5A"/>
          <w:sz w:val="18"/>
          <w:szCs w:val="18"/>
          <w:rtl/>
        </w:rPr>
        <w:t xml:space="preserve">  ملاحظة.</w:t>
      </w:r>
    </w:p>
    <w:p w14:paraId="2C72B91D" w14:textId="77777777" w:rsidR="00CD5946" w:rsidRDefault="00000000">
      <w:pPr>
        <w:pStyle w:val="Heading2"/>
        <w:spacing w:before="220"/>
      </w:pPr>
      <w:bookmarkStart w:id="153" w:name="__RefHeading___Toc9463_1729075678"/>
      <w:bookmarkEnd w:id="153"/>
      <w:r>
        <w:t>3.  Manufacturing process and control strategy</w:t>
      </w:r>
      <w:r>
        <w:rPr>
          <w:b w:val="0"/>
          <w:bCs w:val="0"/>
          <w:color w:val="1A1A1A"/>
          <w:sz w:val="21"/>
          <w:szCs w:val="21"/>
        </w:rPr>
        <w:t xml:space="preserve">   </w:t>
      </w:r>
      <w:r>
        <w:rPr>
          <w:color w:val="C8A24B"/>
          <w:sz w:val="20"/>
          <w:szCs w:val="20"/>
          <w:rtl/>
        </w:rPr>
        <w:t>العملية واستراتيجية الضبط</w:t>
      </w:r>
    </w:p>
    <w:p w14:paraId="483467C0" w14:textId="77777777" w:rsidR="00CD5946" w:rsidRDefault="00000000">
      <w:pPr>
        <w:spacing w:after="40" w:line="266" w:lineRule="auto"/>
        <w:ind w:left="300" w:hanging="300"/>
      </w:pPr>
      <w:r>
        <w:rPr>
          <w:rFonts w:ascii="Arial" w:eastAsia="Arial" w:hAnsi="Arial"/>
          <w:b/>
          <w:bCs/>
          <w:color w:val="15512F"/>
        </w:rPr>
        <w:t xml:space="preserve">3.1  </w:t>
      </w:r>
      <w:r>
        <w:rPr>
          <w:rFonts w:ascii="Arial" w:eastAsia="Arial" w:hAnsi="Arial"/>
          <w:color w:val="1A1A1A"/>
        </w:rPr>
        <w:t>The biosimilar shall be manufactured under full GMP (Annex 2B applies) with its own, independently-developed and validated process; the manufacturer will not have access to the originator’s process. The process and control strategy shall be designed to consistently deliver a product within the established similarity ranges, applying QbD principles (ICH Q8/Q11) where used, and the criticality of quality attributes shall be assessed for their potential clinical impact (including immunogenicity).</w:t>
      </w:r>
    </w:p>
    <w:p w14:paraId="1D7CFEE7"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يُصنّع المثيل الحيوي تحت </w:t>
      </w:r>
      <w:r>
        <w:rPr>
          <w:rFonts w:ascii="Arial" w:eastAsia="Arial" w:hAnsi="Arial"/>
          <w:color w:val="333333"/>
          <w:sz w:val="20"/>
          <w:szCs w:val="20"/>
        </w:rPr>
        <w:t>GMP</w:t>
      </w:r>
      <w:r>
        <w:rPr>
          <w:rFonts w:ascii="Arial" w:eastAsia="Arial" w:hAnsi="Arial"/>
          <w:color w:val="333333"/>
          <w:sz w:val="20"/>
          <w:szCs w:val="20"/>
          <w:rtl/>
        </w:rPr>
        <w:t xml:space="preserve"> كاملة (ينطبق الملحق ⁦</w:t>
      </w:r>
      <w:r>
        <w:rPr>
          <w:rFonts w:ascii="Arial" w:eastAsia="Arial" w:hAnsi="Arial"/>
          <w:color w:val="333333"/>
          <w:sz w:val="20"/>
          <w:szCs w:val="20"/>
        </w:rPr>
        <w:t>2</w:t>
      </w:r>
      <w:r>
        <w:rPr>
          <w:rFonts w:ascii="Arial" w:eastAsia="Arial" w:hAnsi="Arial"/>
          <w:color w:val="333333"/>
          <w:sz w:val="20"/>
          <w:szCs w:val="20"/>
          <w:rtl/>
        </w:rPr>
        <w:t>⁩أ) بعملية مُطوّرة ومُتحقّقة مستقلّة؛ إذ لا يتاح للمصنّع عملية المُبتكِر. وتُصمّم العملية والاستراتيجية لتقديم منتج ضمن نطاقات التشابه، بتطبيق مبادئ الجودة بالتصميم (</w:t>
      </w:r>
      <w:r>
        <w:rPr>
          <w:rFonts w:ascii="Arial" w:eastAsia="Arial" w:hAnsi="Arial"/>
          <w:color w:val="333333"/>
          <w:sz w:val="20"/>
          <w:szCs w:val="20"/>
        </w:rPr>
        <w:t>ICH Q</w:t>
      </w:r>
      <w:r>
        <w:rPr>
          <w:rFonts w:ascii="Arial" w:eastAsia="Arial" w:hAnsi="Arial"/>
          <w:color w:val="333333"/>
          <w:sz w:val="20"/>
          <w:szCs w:val="20"/>
          <w:rtl/>
        </w:rPr>
        <w:t>⁦</w:t>
      </w:r>
      <w:r>
        <w:rPr>
          <w:rFonts w:ascii="Arial" w:eastAsia="Arial" w:hAnsi="Arial"/>
          <w:color w:val="333333"/>
          <w:sz w:val="20"/>
          <w:szCs w:val="20"/>
        </w:rPr>
        <w:t>8/Q11</w:t>
      </w:r>
      <w:r>
        <w:rPr>
          <w:rFonts w:ascii="Arial" w:eastAsia="Arial" w:hAnsi="Arial"/>
          <w:color w:val="333333"/>
          <w:sz w:val="20"/>
          <w:szCs w:val="20"/>
          <w:rtl/>
        </w:rPr>
        <w:t>⁩)، وتُقيّم حرجيّة سمات الجودة لأثرها السريري المحتمل (بما فيه المناعية).</w:t>
      </w:r>
      <w:r>
        <w:rPr>
          <w:rFonts w:ascii="Arial" w:eastAsia="Arial" w:hAnsi="Arial"/>
          <w:b/>
          <w:bCs/>
          <w:color w:val="15512F"/>
          <w:sz w:val="20"/>
          <w:szCs w:val="20"/>
          <w:rtl/>
        </w:rPr>
        <w:t xml:space="preserve">  ⁦</w:t>
      </w:r>
      <w:r>
        <w:rPr>
          <w:rFonts w:ascii="Arial" w:eastAsia="Arial" w:hAnsi="Arial"/>
          <w:b/>
          <w:bCs/>
          <w:color w:val="15512F"/>
          <w:sz w:val="20"/>
          <w:szCs w:val="20"/>
        </w:rPr>
        <w:t>3.1</w:t>
      </w:r>
      <w:r>
        <w:rPr>
          <w:rFonts w:ascii="Arial" w:eastAsia="Arial" w:hAnsi="Arial"/>
          <w:b/>
          <w:bCs/>
          <w:color w:val="15512F"/>
          <w:sz w:val="20"/>
          <w:szCs w:val="20"/>
          <w:rtl/>
        </w:rPr>
        <w:t>⁩</w:t>
      </w:r>
    </w:p>
    <w:p w14:paraId="5F4BA8B3" w14:textId="77777777" w:rsidR="00CD5946" w:rsidRDefault="00000000">
      <w:pPr>
        <w:pStyle w:val="Heading2"/>
        <w:spacing w:before="220"/>
      </w:pPr>
      <w:bookmarkStart w:id="154" w:name="__RefHeading___Toc9465_1729075678"/>
      <w:bookmarkEnd w:id="154"/>
      <w:r>
        <w:t>4.  Non-clinical and clinical comparability</w:t>
      </w:r>
      <w:r>
        <w:rPr>
          <w:b w:val="0"/>
          <w:bCs w:val="0"/>
          <w:color w:val="1A1A1A"/>
          <w:sz w:val="21"/>
          <w:szCs w:val="21"/>
        </w:rPr>
        <w:t xml:space="preserve">   </w:t>
      </w:r>
      <w:r>
        <w:rPr>
          <w:color w:val="C8A24B"/>
          <w:sz w:val="20"/>
          <w:szCs w:val="20"/>
          <w:rtl/>
        </w:rPr>
        <w:t>المقارنة غير السريرية والسريرية</w:t>
      </w:r>
    </w:p>
    <w:p w14:paraId="7493D17C" w14:textId="77777777" w:rsidR="00CD5946" w:rsidRDefault="00000000">
      <w:pPr>
        <w:spacing w:after="40" w:line="266" w:lineRule="auto"/>
        <w:ind w:left="300" w:hanging="300"/>
      </w:pPr>
      <w:r>
        <w:rPr>
          <w:rFonts w:ascii="Arial" w:eastAsia="Arial" w:hAnsi="Arial"/>
          <w:b/>
          <w:bCs/>
          <w:color w:val="15512F"/>
        </w:rPr>
        <w:t xml:space="preserve">4.1  </w:t>
      </w:r>
      <w:r>
        <w:rPr>
          <w:rFonts w:ascii="Arial" w:eastAsia="Arial" w:hAnsi="Arial"/>
          <w:color w:val="1A1A1A"/>
        </w:rPr>
        <w:t>Following the quality comparison, a risk-based non-clinical and clinical comparability programme shall resolve any residual uncertainty about biosimilarity. The clinical programme normally comprises a comparative pharmacokinetic (and, where relevant, pharmacodynamic) study and, where still needed to address residual uncertainty, a comparative efficacy and safety study in a sensitive population. The extent of clinical data is determined by the totality of evidence and is set by the applicable clinical guidance and the authority; this Annex does not prescribe it.</w:t>
      </w:r>
    </w:p>
    <w:p w14:paraId="65D888EA" w14:textId="77777777" w:rsidR="00CD5946" w:rsidRDefault="00000000">
      <w:pPr>
        <w:bidi/>
        <w:spacing w:after="150" w:line="300" w:lineRule="auto"/>
        <w:ind w:right="300" w:hanging="300"/>
        <w:jc w:val="right"/>
      </w:pPr>
      <w:r>
        <w:rPr>
          <w:rFonts w:ascii="Arial" w:eastAsia="Arial" w:hAnsi="Arial"/>
          <w:color w:val="333333"/>
          <w:sz w:val="20"/>
          <w:szCs w:val="20"/>
          <w:rtl/>
        </w:rPr>
        <w:lastRenderedPageBreak/>
        <w:t>بعد مقارنة الجودة يُحلّ برنامج غير سريري وسريري قائم على المخاطر أيّ شكوك متبقية. ويشمل البرنامج عادةً دراسة حركية دوائية مقارِنة (ودينامية عند الاقتضاء)، وعند الحاجة دراسة فعالية وسلامة في فئة حسّاسة. ويُحدّد مدى البيانات بمجمل الأدلّة وبالإرشاد السريري والسلطة؛ ولا يفرضه هذا الملحق.</w:t>
      </w:r>
      <w:r>
        <w:rPr>
          <w:rFonts w:ascii="Arial" w:eastAsia="Arial" w:hAnsi="Arial"/>
          <w:b/>
          <w:bCs/>
          <w:color w:val="15512F"/>
          <w:sz w:val="20"/>
          <w:szCs w:val="20"/>
          <w:rtl/>
        </w:rPr>
        <w:t xml:space="preserve">  ⁦</w:t>
      </w:r>
      <w:r>
        <w:rPr>
          <w:rFonts w:ascii="Arial" w:eastAsia="Arial" w:hAnsi="Arial"/>
          <w:b/>
          <w:bCs/>
          <w:color w:val="15512F"/>
          <w:sz w:val="20"/>
          <w:szCs w:val="20"/>
        </w:rPr>
        <w:t>4.1</w:t>
      </w:r>
      <w:r>
        <w:rPr>
          <w:rFonts w:ascii="Arial" w:eastAsia="Arial" w:hAnsi="Arial"/>
          <w:b/>
          <w:bCs/>
          <w:color w:val="15512F"/>
          <w:sz w:val="20"/>
          <w:szCs w:val="20"/>
          <w:rtl/>
        </w:rPr>
        <w:t>⁩</w:t>
      </w:r>
    </w:p>
    <w:p w14:paraId="3F09776A" w14:textId="77777777" w:rsidR="00CD5946" w:rsidRDefault="00000000">
      <w:pPr>
        <w:spacing w:after="40" w:line="266" w:lineRule="auto"/>
        <w:ind w:left="300" w:hanging="300"/>
      </w:pPr>
      <w:r>
        <w:rPr>
          <w:rFonts w:ascii="Arial" w:eastAsia="Arial" w:hAnsi="Arial"/>
          <w:b/>
          <w:bCs/>
          <w:color w:val="15512F"/>
        </w:rPr>
        <w:t xml:space="preserve">4.2  </w:t>
      </w:r>
      <w:r>
        <w:rPr>
          <w:rFonts w:ascii="Arial" w:eastAsia="Arial" w:hAnsi="Arial"/>
          <w:color w:val="1A1A1A"/>
        </w:rPr>
        <w:t>Extrapolation of indications: approval for indications of the reference product that were not directly studied may be granted where it is scientifically justified on the totality of the evidence — the demonstrated analytical, functional and clinical similarity, the same mechanism(s) of action, and the same involved receptors/target(s) across the extrapolated indications — and where any differences (for example in immunogenicity or safety) across indications have been addressed. Each extrapolation shall be specifically justified.</w:t>
      </w:r>
    </w:p>
    <w:p w14:paraId="6936E164" w14:textId="77777777" w:rsidR="00CD5946" w:rsidRDefault="00000000">
      <w:pPr>
        <w:bidi/>
        <w:spacing w:after="150" w:line="300" w:lineRule="auto"/>
        <w:ind w:right="300" w:hanging="300"/>
        <w:jc w:val="right"/>
      </w:pPr>
      <w:r>
        <w:rPr>
          <w:rFonts w:ascii="Arial" w:eastAsia="Arial" w:hAnsi="Arial"/>
          <w:color w:val="333333"/>
          <w:sz w:val="20"/>
          <w:szCs w:val="20"/>
          <w:rtl/>
        </w:rPr>
        <w:t>تعميم الدواعي: يجوز منح دواعٍ للمرجعي لم تُدرَس مباشرةً حيث يُبرّر ذلك علميّاً بمجمل الأدلّة — التشابه التحليلي والوظيفي والسريري، وآلية العمل والمستقبِلات نفسها — وحيث عولجت الفروق (كالمناعية أو السلامة) بين الدواعي. ويُبرّر كل تعميم على حدة.</w:t>
      </w:r>
      <w:r>
        <w:rPr>
          <w:rFonts w:ascii="Arial" w:eastAsia="Arial" w:hAnsi="Arial"/>
          <w:b/>
          <w:bCs/>
          <w:color w:val="15512F"/>
          <w:sz w:val="20"/>
          <w:szCs w:val="20"/>
          <w:rtl/>
        </w:rPr>
        <w:t xml:space="preserve">  ⁦</w:t>
      </w:r>
      <w:r>
        <w:rPr>
          <w:rFonts w:ascii="Arial" w:eastAsia="Arial" w:hAnsi="Arial"/>
          <w:b/>
          <w:bCs/>
          <w:color w:val="15512F"/>
          <w:sz w:val="20"/>
          <w:szCs w:val="20"/>
        </w:rPr>
        <w:t>4.2</w:t>
      </w:r>
      <w:r>
        <w:rPr>
          <w:rFonts w:ascii="Arial" w:eastAsia="Arial" w:hAnsi="Arial"/>
          <w:b/>
          <w:bCs/>
          <w:color w:val="15512F"/>
          <w:sz w:val="20"/>
          <w:szCs w:val="20"/>
          <w:rtl/>
        </w:rPr>
        <w:t>⁩</w:t>
      </w:r>
    </w:p>
    <w:p w14:paraId="7971A8E5" w14:textId="77777777" w:rsidR="00CD5946" w:rsidRDefault="00000000">
      <w:pPr>
        <w:pStyle w:val="Heading2"/>
        <w:spacing w:before="220"/>
      </w:pPr>
      <w:bookmarkStart w:id="155" w:name="__RefHeading___Toc9467_1729075678"/>
      <w:bookmarkEnd w:id="155"/>
      <w:r>
        <w:t>5.  Immunogenicity, pharmacovigilance, naming and labelling</w:t>
      </w:r>
      <w:r>
        <w:rPr>
          <w:b w:val="0"/>
          <w:bCs w:val="0"/>
          <w:color w:val="1A1A1A"/>
          <w:sz w:val="21"/>
          <w:szCs w:val="21"/>
        </w:rPr>
        <w:t xml:space="preserve">   </w:t>
      </w:r>
      <w:r>
        <w:rPr>
          <w:color w:val="C8A24B"/>
          <w:sz w:val="20"/>
          <w:szCs w:val="20"/>
          <w:rtl/>
        </w:rPr>
        <w:t>المناعية والتيقّظ الدوائي والتسمية والوسم</w:t>
      </w:r>
    </w:p>
    <w:p w14:paraId="186944CB" w14:textId="77777777" w:rsidR="00CD5946" w:rsidRDefault="00000000">
      <w:pPr>
        <w:spacing w:after="40" w:line="266" w:lineRule="auto"/>
        <w:ind w:left="300" w:hanging="300"/>
      </w:pPr>
      <w:r>
        <w:rPr>
          <w:rFonts w:ascii="Arial" w:eastAsia="Arial" w:hAnsi="Arial"/>
          <w:b/>
          <w:bCs/>
          <w:color w:val="15512F"/>
        </w:rPr>
        <w:t xml:space="preserve">5.1  </w:t>
      </w:r>
      <w:r>
        <w:rPr>
          <w:rFonts w:ascii="Arial" w:eastAsia="Arial" w:hAnsi="Arial"/>
          <w:color w:val="1A1A1A"/>
        </w:rPr>
        <w:t>Immunogenicity shall be evaluated comparatively, since it can be affected by product- and process-related attributes and cannot be fully predicted from quality data alone. A risk-based pharmacovigilance plan, including a risk-management plan and, where required, post-authorisation studies, shall be in place, and adverse-event reporting shall permit unambiguous identification of the specific product and batch dispensed (traceability by brand name and batch number).</w:t>
      </w:r>
    </w:p>
    <w:p w14:paraId="1980CCEE" w14:textId="77777777" w:rsidR="00CD5946" w:rsidRDefault="00000000">
      <w:pPr>
        <w:bidi/>
        <w:spacing w:after="150" w:line="300" w:lineRule="auto"/>
        <w:ind w:right="300" w:hanging="300"/>
        <w:jc w:val="right"/>
      </w:pPr>
      <w:r>
        <w:rPr>
          <w:rFonts w:ascii="Arial" w:eastAsia="Arial" w:hAnsi="Arial"/>
          <w:color w:val="333333"/>
          <w:sz w:val="20"/>
          <w:szCs w:val="20"/>
          <w:rtl/>
        </w:rPr>
        <w:t>تُقيّم المناعية مقارَنةً، إذ تتأثّر بسمات المنتج والعملية ولا تُتنبّأ بالكامل من بيانات الجودة. وتُوضع خطة تيقّظ دوائي قائمة على المخاطر وخطة إدارة مخاطر ودراسات بعد الترخيص عند اللزوم، ويُتيح الإبلاغ عن الأحداث الضارة تحديد المنتج والدفعة بوضوح (التتبّع بالاسم التجاري ورقم الدفعة).</w:t>
      </w:r>
      <w:r>
        <w:rPr>
          <w:rFonts w:ascii="Arial" w:eastAsia="Arial" w:hAnsi="Arial"/>
          <w:b/>
          <w:bCs/>
          <w:color w:val="15512F"/>
          <w:sz w:val="20"/>
          <w:szCs w:val="20"/>
          <w:rtl/>
        </w:rPr>
        <w:t xml:space="preserve">  ⁦</w:t>
      </w:r>
      <w:r>
        <w:rPr>
          <w:rFonts w:ascii="Arial" w:eastAsia="Arial" w:hAnsi="Arial"/>
          <w:b/>
          <w:bCs/>
          <w:color w:val="15512F"/>
          <w:sz w:val="20"/>
          <w:szCs w:val="20"/>
        </w:rPr>
        <w:t>5.1</w:t>
      </w:r>
      <w:r>
        <w:rPr>
          <w:rFonts w:ascii="Arial" w:eastAsia="Arial" w:hAnsi="Arial"/>
          <w:b/>
          <w:bCs/>
          <w:color w:val="15512F"/>
          <w:sz w:val="20"/>
          <w:szCs w:val="20"/>
          <w:rtl/>
        </w:rPr>
        <w:t>⁩</w:t>
      </w:r>
    </w:p>
    <w:p w14:paraId="7D428E3D" w14:textId="77777777" w:rsidR="00CD5946" w:rsidRDefault="00000000">
      <w:pPr>
        <w:pBdr>
          <w:left w:val="single" w:sz="6" w:space="8" w:color="CFCFCF"/>
        </w:pBd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Interchangeability, switching and substitution are regulatory and clinical-practice decisions taken at national level and are outside the scope of this GMP Annex. Authorities in the Arab region differ in their positions; the manufacturer shall follow the requirements of each adopting authority.</w:t>
      </w:r>
    </w:p>
    <w:p w14:paraId="7D57BACF" w14:textId="77777777" w:rsidR="00CD5946" w:rsidRDefault="00000000">
      <w:pPr>
        <w:bidi/>
        <w:spacing w:after="140"/>
        <w:ind w:right="300"/>
        <w:jc w:val="right"/>
      </w:pPr>
      <w:r>
        <w:rPr>
          <w:rFonts w:ascii="Arial" w:eastAsia="Arial" w:hAnsi="Arial"/>
          <w:color w:val="5A5A5A"/>
          <w:sz w:val="18"/>
          <w:szCs w:val="18"/>
          <w:rtl/>
        </w:rPr>
        <w:t>القابلية للتبادل والتبديل والإحلال قرارات تنظيمية وسريرية تُتّخذ وطنيّاً وخارج نطاق هذا الملحق. وتختلف مواقف السلطات في المنطقة العربية؛ ويتبع المصنّع متطلبات كل سلطة.</w:t>
      </w:r>
      <w:r>
        <w:rPr>
          <w:rFonts w:ascii="Arial" w:eastAsia="Arial" w:hAnsi="Arial"/>
          <w:b/>
          <w:bCs/>
          <w:color w:val="5A5A5A"/>
          <w:sz w:val="18"/>
          <w:szCs w:val="18"/>
          <w:rtl/>
        </w:rPr>
        <w:t xml:space="preserve">  ملاحظة.</w:t>
      </w:r>
    </w:p>
    <w:p w14:paraId="29A692C2" w14:textId="77777777" w:rsidR="00CD5946" w:rsidRDefault="00000000">
      <w:pPr>
        <w:pStyle w:val="Heading2"/>
        <w:spacing w:before="220"/>
      </w:pPr>
      <w:bookmarkStart w:id="156" w:name="__RefHeading___Toc9469_1729075678"/>
      <w:bookmarkEnd w:id="156"/>
      <w:r>
        <w:t>6.  Glossary (Annex A-BIO)</w:t>
      </w:r>
      <w:r>
        <w:rPr>
          <w:b w:val="0"/>
          <w:bCs w:val="0"/>
          <w:color w:val="1A1A1A"/>
          <w:sz w:val="21"/>
          <w:szCs w:val="21"/>
        </w:rPr>
        <w:t xml:space="preserve">   </w:t>
      </w:r>
      <w:r>
        <w:rPr>
          <w:color w:val="C8A24B"/>
          <w:sz w:val="20"/>
          <w:szCs w:val="20"/>
          <w:rtl/>
        </w:rPr>
        <w:t>مسرد الملحق</w:t>
      </w:r>
      <w:r>
        <w:rPr>
          <w:color w:val="C8A24B"/>
          <w:sz w:val="20"/>
          <w:szCs w:val="20"/>
        </w:rPr>
        <w:t xml:space="preserve"> A-BIO</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700"/>
        <w:gridCol w:w="6660"/>
      </w:tblGrid>
      <w:tr w:rsidR="00CD5946" w14:paraId="0C66A5EF" w14:textId="77777777">
        <w:trPr>
          <w:tblHeader/>
        </w:trPr>
        <w:tc>
          <w:tcPr>
            <w:tcW w:w="2700" w:type="dxa"/>
            <w:tcBorders>
              <w:top w:val="single" w:sz="2" w:space="0" w:color="BFC9C0"/>
              <w:left w:val="single" w:sz="2" w:space="0" w:color="BFC9C0"/>
              <w:bottom w:val="single" w:sz="2" w:space="0" w:color="BFC9C0"/>
              <w:right w:val="single" w:sz="2" w:space="0" w:color="BFC9C0"/>
            </w:tcBorders>
            <w:shd w:val="clear" w:color="auto" w:fill="0E5A50"/>
          </w:tcPr>
          <w:p w14:paraId="7658E42E" w14:textId="77777777" w:rsidR="00CD5946" w:rsidRDefault="00000000">
            <w:pPr>
              <w:spacing w:after="0"/>
            </w:pPr>
            <w:r>
              <w:rPr>
                <w:rFonts w:ascii="Arial" w:eastAsia="Arial" w:hAnsi="Arial"/>
                <w:b/>
                <w:bCs/>
                <w:color w:val="FFFFFF"/>
                <w:sz w:val="18"/>
                <w:szCs w:val="18"/>
              </w:rPr>
              <w:t xml:space="preserve">Term / </w:t>
            </w:r>
            <w:r>
              <w:rPr>
                <w:rFonts w:ascii="Arial" w:eastAsia="Arial" w:hAnsi="Arial"/>
                <w:b/>
                <w:bCs/>
                <w:color w:val="FFFFFF"/>
                <w:sz w:val="18"/>
                <w:szCs w:val="18"/>
                <w:rtl/>
              </w:rPr>
              <w:t>المصطلح</w:t>
            </w:r>
          </w:p>
        </w:tc>
        <w:tc>
          <w:tcPr>
            <w:tcW w:w="6660" w:type="dxa"/>
            <w:tcBorders>
              <w:top w:val="single" w:sz="2" w:space="0" w:color="BFC9C0"/>
              <w:left w:val="single" w:sz="2" w:space="0" w:color="BFC9C0"/>
              <w:bottom w:val="single" w:sz="2" w:space="0" w:color="BFC9C0"/>
              <w:right w:val="single" w:sz="2" w:space="0" w:color="BFC9C0"/>
            </w:tcBorders>
            <w:shd w:val="clear" w:color="auto" w:fill="0E5A50"/>
          </w:tcPr>
          <w:p w14:paraId="4B36B265" w14:textId="77777777" w:rsidR="00CD5946" w:rsidRDefault="00000000">
            <w:pPr>
              <w:spacing w:after="0"/>
            </w:pPr>
            <w:r>
              <w:rPr>
                <w:rFonts w:ascii="Arial" w:eastAsia="Arial" w:hAnsi="Arial"/>
                <w:b/>
                <w:bCs/>
                <w:color w:val="FFFFFF"/>
                <w:sz w:val="18"/>
                <w:szCs w:val="18"/>
              </w:rPr>
              <w:t xml:space="preserve">Definition / </w:t>
            </w:r>
            <w:r>
              <w:rPr>
                <w:rFonts w:ascii="Arial" w:eastAsia="Arial" w:hAnsi="Arial"/>
                <w:b/>
                <w:bCs/>
                <w:color w:val="FFFFFF"/>
                <w:sz w:val="18"/>
                <w:szCs w:val="18"/>
                <w:rtl/>
              </w:rPr>
              <w:t>التعريف</w:t>
            </w:r>
          </w:p>
        </w:tc>
      </w:tr>
      <w:tr w:rsidR="00CD5946" w14:paraId="4DFE3AA2"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58F8821D" w14:textId="77777777" w:rsidR="00CD5946" w:rsidRDefault="00000000">
            <w:pPr>
              <w:spacing w:after="0"/>
            </w:pPr>
            <w:r>
              <w:rPr>
                <w:rFonts w:ascii="Arial" w:eastAsia="Arial" w:hAnsi="Arial"/>
                <w:b/>
                <w:bCs/>
                <w:color w:val="15512F"/>
                <w:sz w:val="18"/>
                <w:szCs w:val="18"/>
              </w:rPr>
              <w:t>Biosimilar / SBP</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50A46687" w14:textId="77777777" w:rsidR="00CD5946" w:rsidRDefault="00000000">
            <w:pPr>
              <w:spacing w:after="0"/>
            </w:pPr>
            <w:r>
              <w:rPr>
                <w:rFonts w:ascii="Arial" w:eastAsia="Arial" w:hAnsi="Arial"/>
                <w:color w:val="1A1A1A"/>
                <w:sz w:val="18"/>
                <w:szCs w:val="18"/>
              </w:rPr>
              <w:t xml:space="preserve">A biotherapeutic product highly similar to a licensed reference product, with no clinically meaningful differences in quality, safety or efficacy. / </w:t>
            </w:r>
            <w:r>
              <w:rPr>
                <w:rFonts w:ascii="Arial" w:eastAsia="Arial" w:hAnsi="Arial"/>
                <w:color w:val="1A1A1A"/>
                <w:sz w:val="18"/>
                <w:szCs w:val="18"/>
                <w:rtl/>
              </w:rPr>
              <w:t>منتج حيوي مماثِل بدرجة عالية دون فروق سريرية ذات معنى</w:t>
            </w:r>
            <w:r>
              <w:rPr>
                <w:rFonts w:ascii="Arial" w:eastAsia="Arial" w:hAnsi="Arial"/>
                <w:color w:val="1A1A1A"/>
                <w:sz w:val="18"/>
                <w:szCs w:val="18"/>
              </w:rPr>
              <w:t>.</w:t>
            </w:r>
          </w:p>
        </w:tc>
      </w:tr>
      <w:tr w:rsidR="00CD5946" w14:paraId="5529CA4A"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2D1C40C7" w14:textId="77777777" w:rsidR="00CD5946" w:rsidRDefault="00000000">
            <w:pPr>
              <w:spacing w:after="0"/>
            </w:pPr>
            <w:r>
              <w:rPr>
                <w:rFonts w:ascii="Arial" w:eastAsia="Arial" w:hAnsi="Arial"/>
                <w:b/>
                <w:bCs/>
                <w:color w:val="15512F"/>
                <w:sz w:val="18"/>
                <w:szCs w:val="18"/>
              </w:rPr>
              <w:t>Reference product (RBP)</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2FEDE9A9" w14:textId="77777777" w:rsidR="00CD5946" w:rsidRDefault="00000000">
            <w:pPr>
              <w:spacing w:after="0"/>
            </w:pPr>
            <w:r>
              <w:rPr>
                <w:rFonts w:ascii="Arial" w:eastAsia="Arial" w:hAnsi="Arial"/>
                <w:color w:val="1A1A1A"/>
                <w:sz w:val="18"/>
                <w:szCs w:val="18"/>
              </w:rPr>
              <w:t xml:space="preserve">The single, fully-licensed comparator against which biosimilarity is established. / </w:t>
            </w:r>
            <w:r>
              <w:rPr>
                <w:rFonts w:ascii="Arial" w:eastAsia="Arial" w:hAnsi="Arial"/>
                <w:color w:val="1A1A1A"/>
                <w:sz w:val="18"/>
                <w:szCs w:val="18"/>
                <w:rtl/>
              </w:rPr>
              <w:t>المقارِن الوحيد المُرخّص بالكامل</w:t>
            </w:r>
            <w:r>
              <w:rPr>
                <w:rFonts w:ascii="Arial" w:eastAsia="Arial" w:hAnsi="Arial"/>
                <w:color w:val="1A1A1A"/>
                <w:sz w:val="18"/>
                <w:szCs w:val="18"/>
              </w:rPr>
              <w:t>.</w:t>
            </w:r>
          </w:p>
        </w:tc>
      </w:tr>
      <w:tr w:rsidR="00CD5946" w14:paraId="66180147"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3F42672D" w14:textId="77777777" w:rsidR="00CD5946" w:rsidRDefault="00000000">
            <w:pPr>
              <w:spacing w:after="0"/>
            </w:pPr>
            <w:r>
              <w:rPr>
                <w:rFonts w:ascii="Arial" w:eastAsia="Arial" w:hAnsi="Arial"/>
                <w:b/>
                <w:bCs/>
                <w:color w:val="15512F"/>
                <w:sz w:val="18"/>
                <w:szCs w:val="18"/>
              </w:rPr>
              <w:t>Comparability exercise</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717D1192" w14:textId="77777777" w:rsidR="00CD5946" w:rsidRDefault="00000000">
            <w:pPr>
              <w:spacing w:after="0"/>
            </w:pPr>
            <w:r>
              <w:rPr>
                <w:rFonts w:ascii="Arial" w:eastAsia="Arial" w:hAnsi="Arial"/>
                <w:color w:val="1A1A1A"/>
                <w:sz w:val="18"/>
                <w:szCs w:val="18"/>
              </w:rPr>
              <w:t xml:space="preserve">The stepwise, head-to-head comparison (quality → non-clinical → clinical) establishing biosimilarity. / </w:t>
            </w:r>
            <w:r>
              <w:rPr>
                <w:rFonts w:ascii="Arial" w:eastAsia="Arial" w:hAnsi="Arial"/>
                <w:color w:val="1A1A1A"/>
                <w:sz w:val="18"/>
                <w:szCs w:val="18"/>
                <w:rtl/>
              </w:rPr>
              <w:t>المقارنة التدريجية وجهاً لوجه</w:t>
            </w:r>
            <w:r>
              <w:rPr>
                <w:rFonts w:ascii="Arial" w:eastAsia="Arial" w:hAnsi="Arial"/>
                <w:color w:val="1A1A1A"/>
                <w:sz w:val="18"/>
                <w:szCs w:val="18"/>
              </w:rPr>
              <w:t>.</w:t>
            </w:r>
          </w:p>
        </w:tc>
      </w:tr>
      <w:tr w:rsidR="00CD5946" w14:paraId="66DA9383"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41F5E8B8" w14:textId="77777777" w:rsidR="00CD5946" w:rsidRDefault="00000000">
            <w:pPr>
              <w:spacing w:after="0"/>
            </w:pPr>
            <w:r>
              <w:rPr>
                <w:rFonts w:ascii="Arial" w:eastAsia="Arial" w:hAnsi="Arial"/>
                <w:b/>
                <w:bCs/>
                <w:color w:val="15512F"/>
                <w:sz w:val="18"/>
                <w:szCs w:val="18"/>
              </w:rPr>
              <w:t>Totality of the evidence</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11EDB237" w14:textId="77777777" w:rsidR="00CD5946" w:rsidRDefault="00000000">
            <w:pPr>
              <w:spacing w:after="0"/>
            </w:pPr>
            <w:r>
              <w:rPr>
                <w:rFonts w:ascii="Arial" w:eastAsia="Arial" w:hAnsi="Arial"/>
                <w:color w:val="1A1A1A"/>
                <w:sz w:val="18"/>
                <w:szCs w:val="18"/>
              </w:rPr>
              <w:t xml:space="preserve">The integrated body of analytical, functional, non-clinical and clinical data supporting a demonstration of biosimilarity. / </w:t>
            </w:r>
            <w:r>
              <w:rPr>
                <w:rFonts w:ascii="Arial" w:eastAsia="Arial" w:hAnsi="Arial"/>
                <w:color w:val="1A1A1A"/>
                <w:sz w:val="18"/>
                <w:szCs w:val="18"/>
                <w:rtl/>
              </w:rPr>
              <w:t>مجمل الأدلّة المتكاملة</w:t>
            </w:r>
            <w:r>
              <w:rPr>
                <w:rFonts w:ascii="Arial" w:eastAsia="Arial" w:hAnsi="Arial"/>
                <w:color w:val="1A1A1A"/>
                <w:sz w:val="18"/>
                <w:szCs w:val="18"/>
              </w:rPr>
              <w:t>.</w:t>
            </w:r>
          </w:p>
        </w:tc>
      </w:tr>
      <w:tr w:rsidR="00CD5946" w14:paraId="61BB7764"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6A59F6E2" w14:textId="77777777" w:rsidR="00CD5946" w:rsidRDefault="00000000">
            <w:pPr>
              <w:spacing w:after="0"/>
            </w:pPr>
            <w:r>
              <w:rPr>
                <w:rFonts w:ascii="Arial" w:eastAsia="Arial" w:hAnsi="Arial"/>
                <w:b/>
                <w:bCs/>
                <w:color w:val="15512F"/>
                <w:sz w:val="18"/>
                <w:szCs w:val="18"/>
              </w:rPr>
              <w:t>Extrapolation</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18612454" w14:textId="77777777" w:rsidR="00CD5946" w:rsidRDefault="00000000">
            <w:pPr>
              <w:spacing w:after="0"/>
            </w:pPr>
            <w:r>
              <w:rPr>
                <w:rFonts w:ascii="Arial" w:eastAsia="Arial" w:hAnsi="Arial"/>
                <w:color w:val="1A1A1A"/>
                <w:sz w:val="18"/>
                <w:szCs w:val="18"/>
              </w:rPr>
              <w:t xml:space="preserve">Approval of an indication not directly studied, justified scientifically on the totality of the evidence. / </w:t>
            </w:r>
            <w:r>
              <w:rPr>
                <w:rFonts w:ascii="Arial" w:eastAsia="Arial" w:hAnsi="Arial"/>
                <w:color w:val="1A1A1A"/>
                <w:sz w:val="18"/>
                <w:szCs w:val="18"/>
                <w:rtl/>
              </w:rPr>
              <w:t>منح داعٍ لم يُدرَس مباشرةً بتبرير علمي</w:t>
            </w:r>
            <w:r>
              <w:rPr>
                <w:rFonts w:ascii="Arial" w:eastAsia="Arial" w:hAnsi="Arial"/>
                <w:color w:val="1A1A1A"/>
                <w:sz w:val="18"/>
                <w:szCs w:val="18"/>
              </w:rPr>
              <w:t>.</w:t>
            </w:r>
          </w:p>
        </w:tc>
      </w:tr>
    </w:tbl>
    <w:p w14:paraId="6FE01F1A" w14:textId="77777777" w:rsidR="00CD5946" w:rsidRDefault="00000000">
      <w:pPr>
        <w:spacing w:before="260" w:after="0"/>
        <w:jc w:val="center"/>
      </w:pPr>
      <w:r>
        <w:rPr>
          <w:noProof/>
        </w:rPr>
        <w:lastRenderedPageBreak/>
        <w:drawing>
          <wp:inline distT="0" distB="0" distL="0" distR="0" wp14:anchorId="5364C97A" wp14:editId="5C921EC4">
            <wp:extent cx="876300" cy="1238250"/>
            <wp:effectExtent l="0" t="0" r="0" b="0"/>
            <wp:docPr id="8" name="Image7"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0416183E" w14:textId="77777777" w:rsidR="00CD5946" w:rsidRDefault="00000000">
      <w:pPr>
        <w:spacing w:before="50" w:after="0"/>
        <w:jc w:val="center"/>
      </w:pPr>
      <w:r>
        <w:rPr>
          <w:rFonts w:ascii="Arial" w:eastAsia="Arial" w:hAnsi="Arial"/>
          <w:b/>
          <w:bCs/>
          <w:color w:val="15512F"/>
          <w:sz w:val="19"/>
          <w:szCs w:val="19"/>
        </w:rPr>
        <w:t>AUPAM EXPERTS' OFFICE</w:t>
      </w:r>
    </w:p>
    <w:p w14:paraId="5EACB64C"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22DA6F28" w14:textId="77777777" w:rsidR="00CD5946" w:rsidRDefault="00000000">
      <w:pPr>
        <w:spacing w:before="10" w:after="0"/>
        <w:jc w:val="center"/>
      </w:pPr>
      <w:r>
        <w:rPr>
          <w:rFonts w:ascii="Arial" w:eastAsia="Arial" w:hAnsi="Arial"/>
          <w:b/>
          <w:bCs/>
          <w:color w:val="B08C37"/>
          <w:sz w:val="24"/>
          <w:szCs w:val="24"/>
        </w:rPr>
        <w:t>2026 EDITION</w:t>
      </w:r>
    </w:p>
    <w:p w14:paraId="30E71A70" w14:textId="77777777" w:rsidR="00CD5946" w:rsidRDefault="00000000">
      <w:pPr>
        <w:spacing w:before="260" w:after="0"/>
        <w:jc w:val="center"/>
      </w:pPr>
      <w:r>
        <w:rPr>
          <w:rFonts w:ascii="Arial" w:eastAsia="Arial" w:hAnsi="Arial"/>
          <w:b/>
          <w:bCs/>
          <w:color w:val="15512F"/>
          <w:sz w:val="54"/>
          <w:szCs w:val="54"/>
        </w:rPr>
        <w:t>ANNEX 3</w:t>
      </w:r>
    </w:p>
    <w:p w14:paraId="2CEE0A6A" w14:textId="77777777" w:rsidR="00CD5946" w:rsidRDefault="00000000">
      <w:pPr>
        <w:spacing w:before="40" w:after="0"/>
        <w:jc w:val="center"/>
      </w:pPr>
      <w:r>
        <w:rPr>
          <w:rFonts w:ascii="Arial" w:eastAsia="Arial" w:hAnsi="Arial"/>
          <w:b/>
          <w:bCs/>
          <w:color w:val="1A1A1A"/>
          <w:sz w:val="28"/>
          <w:szCs w:val="28"/>
        </w:rPr>
        <w:t>Manufacture of Radiopharmaceuticals</w:t>
      </w:r>
    </w:p>
    <w:p w14:paraId="4312422D" w14:textId="77777777" w:rsidR="00CD5946" w:rsidRDefault="00000000">
      <w:pPr>
        <w:spacing w:before="16" w:after="0"/>
        <w:jc w:val="center"/>
      </w:pPr>
      <w:r>
        <w:rPr>
          <w:rFonts w:ascii="Arial" w:eastAsia="Arial" w:hAnsi="Arial"/>
          <w:color w:val="5A5A5A"/>
          <w:sz w:val="22"/>
          <w:szCs w:val="22"/>
        </w:rPr>
        <w:t>Short half-life · release before testing · EN | AR</w:t>
      </w:r>
    </w:p>
    <w:p w14:paraId="2E817EA2" w14:textId="77777777" w:rsidR="00CD5946" w:rsidRDefault="00000000">
      <w:pPr>
        <w:spacing w:before="26" w:after="0"/>
        <w:jc w:val="center"/>
      </w:pPr>
      <w:r>
        <w:rPr>
          <w:rFonts w:ascii="Arial" w:eastAsia="Arial" w:hAnsi="Arial"/>
          <w:b/>
          <w:bCs/>
          <w:color w:val="15512F"/>
          <w:sz w:val="22"/>
          <w:szCs w:val="22"/>
          <w:rtl/>
        </w:rPr>
        <w:t>الملحق ⁦</w:t>
      </w:r>
      <w:r>
        <w:rPr>
          <w:rFonts w:ascii="Arial" w:eastAsia="Arial" w:hAnsi="Arial"/>
          <w:b/>
          <w:bCs/>
          <w:color w:val="15512F"/>
          <w:sz w:val="22"/>
          <w:szCs w:val="22"/>
        </w:rPr>
        <w:t>3 —</w:t>
      </w:r>
      <w:r>
        <w:rPr>
          <w:rFonts w:ascii="Arial" w:eastAsia="Arial" w:hAnsi="Arial"/>
          <w:b/>
          <w:bCs/>
          <w:color w:val="15512F"/>
          <w:sz w:val="22"/>
          <w:szCs w:val="22"/>
          <w:rtl/>
        </w:rPr>
        <w:t>⁩ المستحضرات الإشعاعية</w:t>
      </w:r>
    </w:p>
    <w:p w14:paraId="38E3CEDD"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1683CF1A" w14:textId="77777777" w:rsidR="00CD5946" w:rsidRDefault="00000000">
      <w:r>
        <w:br w:type="page"/>
      </w:r>
    </w:p>
    <w:p w14:paraId="59ACD19D" w14:textId="77777777" w:rsidR="00CD5946" w:rsidRDefault="00000000">
      <w:pPr>
        <w:pStyle w:val="Heading1"/>
        <w:spacing w:before="0"/>
      </w:pPr>
      <w:bookmarkStart w:id="157" w:name="__RefHeading___Toc9471_1729075678"/>
      <w:bookmarkEnd w:id="157"/>
      <w:r>
        <w:lastRenderedPageBreak/>
        <w:t>Contents</w:t>
      </w:r>
    </w:p>
    <w:sdt>
      <w:sdtPr>
        <w:id w:val="-1654973221"/>
        <w:docPartObj>
          <w:docPartGallery w:val="Table of Contents"/>
          <w:docPartUnique/>
        </w:docPartObj>
      </w:sdtPr>
      <w:sdtContent>
        <w:p w14:paraId="55F26494"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4F0954DC"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3409669F"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67B2AE69"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4CD9EB61"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5F27BE08"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12B211ED"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54665C7B"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75F6BB0A"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15725F1A"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5FB734A5"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126B93BB"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440F3517"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16748A20"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0FE3AE24"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2C9C5D9E"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05C03544"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39C83464"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508EAD21"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0C94ABCD"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3E8F7EA9"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21FAF329"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334F3699"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00EE6919"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55428B91"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74F12F50"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63B0FC1B"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17C49551"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6BA1016A"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1AC03A2B"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5B84446F"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7C4234BB"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12EDE50B"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4B789B41"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6CE8F8A8"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40984263"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2C37A576"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6DD35D02"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60A3F7F5"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0D6C50F1"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0F69E65A"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6CB6B208"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37D8C49C"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11FB5723"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724A919C"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31C0FAD8"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5363FCF8"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3DECA164"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39F8575D"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073C630E"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32B0C284"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4222FECC"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53959E77"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2DED2A93"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7E872017"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20E718A1"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5CA89F25"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4BEE334B"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0C32B0D2"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0FB62356"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597652D0"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2B53D4B9"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4A148AE8"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1121CDFC"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58E7FF02"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572ECDFC"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39A129B8"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76CA4445"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48A9EF65"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3A51D7EC"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70D55797"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438E3A69"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4263A00B"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02FF8DEE" w14:textId="77777777" w:rsidR="00CD5946" w:rsidRDefault="00CD5946"/>
    <w:p w14:paraId="20F4A553" w14:textId="77777777" w:rsidR="00CD5946" w:rsidRDefault="00000000">
      <w:pPr>
        <w:pStyle w:val="Heading1"/>
      </w:pPr>
      <w:bookmarkStart w:id="158" w:name="__RefHeading___Toc9473_1729075678"/>
      <w:bookmarkEnd w:id="158"/>
      <w:r>
        <w:t xml:space="preserve">Annex 3 — Manufacture of Radiopharmaceuticals  ·  </w:t>
      </w:r>
      <w:r>
        <w:rPr>
          <w:rtl/>
        </w:rPr>
        <w:t xml:space="preserve">الملحق </w:t>
      </w:r>
      <w:r>
        <w:t>3</w:t>
      </w:r>
      <w:r>
        <w:rPr>
          <w:rtl/>
        </w:rPr>
        <w:t xml:space="preserve"> — تصنيع المستحضرات الصيدلانية الإشعاعية</w:t>
      </w:r>
    </w:p>
    <w:p w14:paraId="64772E07" w14:textId="77777777" w:rsidR="00CD5946" w:rsidRDefault="00000000">
      <w:pPr>
        <w:spacing w:before="10" w:after="150"/>
      </w:pPr>
      <w:r>
        <w:rPr>
          <w:rFonts w:ascii="Arial" w:eastAsia="Arial" w:hAnsi="Arial"/>
          <w:b/>
          <w:bCs/>
          <w:color w:val="C8A24B"/>
          <w:sz w:val="17"/>
          <w:szCs w:val="17"/>
        </w:rPr>
        <w:t xml:space="preserve">Harmonised with: </w:t>
      </w:r>
      <w:r>
        <w:rPr>
          <w:rFonts w:ascii="Arial" w:eastAsia="Arial" w:hAnsi="Arial"/>
          <w:i/>
          <w:iCs/>
          <w:color w:val="5A5A5A"/>
          <w:sz w:val="17"/>
          <w:szCs w:val="17"/>
        </w:rPr>
        <w:t>EU GMP Annex 3 · SFDA GMP Guide v4.4 · PIC/S PE 009-17 Annex 3 · Ph.Eur. radiopharmaceutical preparations · IAEA / national radiation-protection requirements · Annex 1 (sterile)</w:t>
      </w:r>
    </w:p>
    <w:p w14:paraId="4B2DC152" w14:textId="77777777" w:rsidR="00CD5946" w:rsidRDefault="00000000">
      <w:pPr>
        <w:pBdr>
          <w:left w:val="single" w:sz="16" w:space="8" w:color="C8A24B"/>
        </w:pBdr>
        <w:spacing w:after="40"/>
        <w:ind w:left="160"/>
      </w:pPr>
      <w:r>
        <w:rPr>
          <w:rFonts w:ascii="Arial" w:eastAsia="Arial" w:hAnsi="Arial"/>
          <w:b/>
          <w:bCs/>
          <w:color w:val="C8A24B"/>
        </w:rPr>
        <w:t xml:space="preserve">Principle.  </w:t>
      </w:r>
      <w:r>
        <w:rPr>
          <w:rFonts w:ascii="Arial" w:eastAsia="Arial" w:hAnsi="Arial"/>
          <w:color w:val="1A1A1A"/>
        </w:rPr>
        <w:t>The manufacture of radiopharmaceuticals shall comply with GMP and, simultaneously, with the radiation-protection requirements of the competent authority. Because many radiopharmaceuticals have a short half-life and are administered shortly after manufacture, the control strategy relies heavily on validated processes, in-process controls and a robust release procedure, and certain products may be released and administered before all quality-control testing is complete, provided a documented, risk-based procedure ensures product quality and patient safety.</w:t>
      </w:r>
    </w:p>
    <w:p w14:paraId="355E4D84" w14:textId="77777777" w:rsidR="00CD5946" w:rsidRDefault="00000000">
      <w:pPr>
        <w:bidi/>
        <w:spacing w:after="150"/>
        <w:ind w:right="160"/>
        <w:jc w:val="right"/>
      </w:pPr>
      <w:r>
        <w:rPr>
          <w:rFonts w:ascii="Arial" w:eastAsia="Arial" w:hAnsi="Arial"/>
          <w:b/>
          <w:bCs/>
          <w:color w:val="C8A24B"/>
          <w:sz w:val="20"/>
          <w:szCs w:val="20"/>
          <w:rtl/>
        </w:rPr>
        <w:t xml:space="preserve">المبدأ. </w:t>
      </w:r>
      <w:r>
        <w:rPr>
          <w:rFonts w:ascii="Arial" w:eastAsia="Arial" w:hAnsi="Arial"/>
          <w:color w:val="333333"/>
          <w:sz w:val="20"/>
          <w:szCs w:val="20"/>
          <w:rtl/>
        </w:rPr>
        <w:t xml:space="preserve">يلتزم تصنيع المستحضرات الإشعاعية بـ </w:t>
      </w:r>
      <w:r>
        <w:rPr>
          <w:rFonts w:ascii="Arial" w:eastAsia="Arial" w:hAnsi="Arial"/>
          <w:color w:val="333333"/>
          <w:sz w:val="20"/>
          <w:szCs w:val="20"/>
        </w:rPr>
        <w:t>GMP</w:t>
      </w:r>
      <w:r>
        <w:rPr>
          <w:rFonts w:ascii="Arial" w:eastAsia="Arial" w:hAnsi="Arial"/>
          <w:color w:val="333333"/>
          <w:sz w:val="20"/>
          <w:szCs w:val="20"/>
          <w:rtl/>
        </w:rPr>
        <w:t xml:space="preserve"> وبمتطلبات الوقاية من الإشعاع معاً. ولأنّ كثيراً منها قصير عمر النصف ويُعطى بعد التصنيع بوقت قصير، تعتمد استراتيجية الضبط على عمليات مُتحقّقة وضوابط أثناء العملية؛ وقد يُفرَج عن بعض المنتجات وتُعطى قبل اكتمال الاختبارات شريطة إجراء موثّق قائم على المخاطر يضمن الجودة وسلامة المريض.</w:t>
      </w:r>
    </w:p>
    <w:p w14:paraId="7DD09BEA" w14:textId="77777777" w:rsidR="00CD5946" w:rsidRDefault="00000000">
      <w:pPr>
        <w:pBdr>
          <w:left w:val="single" w:sz="10" w:space="8" w:color="CFCFCF"/>
        </w:pBdr>
        <w:spacing w:before="60" w:after="30"/>
        <w:ind w:left="160"/>
      </w:pPr>
      <w:r>
        <w:rPr>
          <w:rFonts w:ascii="Arial" w:eastAsia="Arial" w:hAnsi="Arial"/>
          <w:b/>
          <w:bCs/>
          <w:color w:val="15512F"/>
          <w:sz w:val="20"/>
          <w:szCs w:val="20"/>
        </w:rPr>
        <w:t xml:space="preserve">Scope.  </w:t>
      </w:r>
      <w:r>
        <w:rPr>
          <w:rFonts w:ascii="Arial" w:eastAsia="Arial" w:hAnsi="Arial"/>
          <w:color w:val="1A1A1A"/>
          <w:sz w:val="20"/>
          <w:szCs w:val="20"/>
        </w:rPr>
        <w:t>This Annex applies to radiopharmaceuticals manufactured industrially, including positron-emission-tomography (PET) products and radionuclide generators, kits and precursors. It does not cover the preparation of radiopharmaceuticals in hospital radiopharmacies (radiopharmacy/hospital exemption) where such preparation is governed by national requirements.</w:t>
      </w:r>
    </w:p>
    <w:p w14:paraId="46FA4D7A" w14:textId="77777777" w:rsidR="00CD5946" w:rsidRDefault="00000000">
      <w:pPr>
        <w:bidi/>
        <w:spacing w:after="150"/>
        <w:ind w:right="160"/>
        <w:jc w:val="right"/>
      </w:pPr>
      <w:r>
        <w:rPr>
          <w:rFonts w:ascii="Arial" w:eastAsia="Arial" w:hAnsi="Arial"/>
          <w:b/>
          <w:bCs/>
          <w:color w:val="15512F"/>
          <w:sz w:val="20"/>
          <w:szCs w:val="20"/>
          <w:rtl/>
        </w:rPr>
        <w:t xml:space="preserve">النطاق. </w:t>
      </w:r>
      <w:r>
        <w:rPr>
          <w:rFonts w:ascii="Arial" w:eastAsia="Arial" w:hAnsi="Arial"/>
          <w:color w:val="333333"/>
          <w:sz w:val="20"/>
          <w:szCs w:val="20"/>
          <w:rtl/>
        </w:rPr>
        <w:t>ينطبق على المستحضرات الإشعاعية المُصنّعة صناعيّاً، بما فيها منتجات التصوير المقطعي بالبوزيترون (</w:t>
      </w:r>
      <w:r>
        <w:rPr>
          <w:rFonts w:ascii="Arial" w:eastAsia="Arial" w:hAnsi="Arial"/>
          <w:color w:val="333333"/>
          <w:sz w:val="20"/>
          <w:szCs w:val="20"/>
        </w:rPr>
        <w:t>PET</w:t>
      </w:r>
      <w:r>
        <w:rPr>
          <w:rFonts w:ascii="Arial" w:eastAsia="Arial" w:hAnsi="Arial"/>
          <w:color w:val="333333"/>
          <w:sz w:val="20"/>
          <w:szCs w:val="20"/>
          <w:rtl/>
        </w:rPr>
        <w:t>) والمولّدات النووية والعدد والسلائف. ولا يغطّي التحضير في صيدليات المستشفيات الإشعاعية الخاضع لمتطلبات وطنية.</w:t>
      </w:r>
    </w:p>
    <w:p w14:paraId="0B7B29B3" w14:textId="77777777" w:rsidR="00CD5946" w:rsidRDefault="00000000">
      <w:pPr>
        <w:pStyle w:val="Heading2"/>
        <w:spacing w:before="220"/>
      </w:pPr>
      <w:bookmarkStart w:id="159" w:name="__RefHeading___Toc9475_1729075678"/>
      <w:bookmarkEnd w:id="159"/>
      <w:r>
        <w:t>1.  Premises, production and protection</w:t>
      </w:r>
      <w:r>
        <w:rPr>
          <w:b w:val="0"/>
          <w:bCs w:val="0"/>
          <w:color w:val="1A1A1A"/>
          <w:sz w:val="21"/>
          <w:szCs w:val="21"/>
        </w:rPr>
        <w:t xml:space="preserve">   </w:t>
      </w:r>
      <w:r>
        <w:rPr>
          <w:color w:val="C8A24B"/>
          <w:sz w:val="20"/>
          <w:szCs w:val="20"/>
          <w:rtl/>
        </w:rPr>
        <w:t>المباني والإنتاج والوقاية</w:t>
      </w:r>
    </w:p>
    <w:p w14:paraId="0EFB6C7B" w14:textId="77777777" w:rsidR="00CD5946" w:rsidRDefault="00000000">
      <w:pPr>
        <w:spacing w:after="40" w:line="266" w:lineRule="auto"/>
        <w:ind w:left="300" w:hanging="300"/>
      </w:pPr>
      <w:r>
        <w:rPr>
          <w:rFonts w:ascii="Arial" w:eastAsia="Arial" w:hAnsi="Arial"/>
          <w:b/>
          <w:bCs/>
          <w:color w:val="15512F"/>
        </w:rPr>
        <w:t xml:space="preserve">3.1  </w:t>
      </w:r>
      <w:r>
        <w:rPr>
          <w:rFonts w:ascii="Arial" w:eastAsia="Arial" w:hAnsi="Arial"/>
          <w:color w:val="1A1A1A"/>
        </w:rPr>
        <w:t xml:space="preserve">Production shall take place in premises designed for both product protection and personnel/environmental radiation protection. Where the product is exposed and cannot be terminally sterilised, aseptic processing in a Grade A zone with a suitable background shall be </w:t>
        <w:lastRenderedPageBreak/>
        <w:t>applied; the use of hot cells and shielded isolators is common. Air pressure cascades shall reconcile the need to protect the product (positive pressure) with the need to contain radioactivity (often negative pressure), and the resolution of this conflict shall be justified in the contamination-control strategy.</w:t>
      </w:r>
    </w:p>
    <w:p w14:paraId="5E7D63DA"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يتمّ الإنتاج في مبانٍ مصمّمة لحماية المنتج وللوقاية من الإشعاع للأفراد والبيئة. وحيث يتعرّض المنتج ولا يُعقّم نهائيّاً تُطبّق معالجة عقيمة في درجة </w:t>
      </w:r>
      <w:r>
        <w:rPr>
          <w:rFonts w:ascii="Arial" w:eastAsia="Arial" w:hAnsi="Arial"/>
          <w:color w:val="333333"/>
          <w:sz w:val="20"/>
          <w:szCs w:val="20"/>
        </w:rPr>
        <w:t>A</w:t>
      </w:r>
      <w:r>
        <w:rPr>
          <w:rFonts w:ascii="Arial" w:eastAsia="Arial" w:hAnsi="Arial"/>
          <w:color w:val="333333"/>
          <w:sz w:val="20"/>
          <w:szCs w:val="20"/>
          <w:rtl/>
        </w:rPr>
        <w:t xml:space="preserve"> بخلفية مناسبة؛ ويشيع استخدام الخلايا الساخنة والعوازل المدرّعة. وتوفّق تدرّجات الضغط بين حماية المنتج (ضغط موجب) واحتواء الإشعاع (ضغط سالب غالباً)، ويُبرّر حلّ هذا التعارض في استراتيجية ضبط التلوث.</w:t>
      </w:r>
      <w:r>
        <w:rPr>
          <w:rFonts w:ascii="Arial" w:eastAsia="Arial" w:hAnsi="Arial"/>
          <w:b/>
          <w:bCs/>
          <w:color w:val="15512F"/>
          <w:sz w:val="20"/>
          <w:szCs w:val="20"/>
          <w:rtl/>
        </w:rPr>
        <w:t xml:space="preserve">  ⁦</w:t>
      </w:r>
      <w:r>
        <w:rPr>
          <w:rFonts w:ascii="Arial" w:eastAsia="Arial" w:hAnsi="Arial"/>
          <w:b/>
          <w:bCs/>
          <w:color w:val="15512F"/>
          <w:sz w:val="20"/>
          <w:szCs w:val="20"/>
        </w:rPr>
        <w:t>3.1</w:t>
      </w:r>
      <w:r>
        <w:rPr>
          <w:rFonts w:ascii="Arial" w:eastAsia="Arial" w:hAnsi="Arial"/>
          <w:b/>
          <w:bCs/>
          <w:color w:val="15512F"/>
          <w:sz w:val="20"/>
          <w:szCs w:val="20"/>
          <w:rtl/>
        </w:rPr>
        <w:t>⁩</w:t>
      </w:r>
    </w:p>
    <w:p w14:paraId="0B6C92BE" w14:textId="77777777" w:rsidR="00CD5946" w:rsidRDefault="00000000">
      <w:pPr>
        <w:spacing w:after="40" w:line="266" w:lineRule="auto"/>
        <w:ind w:left="300" w:hanging="300"/>
      </w:pPr>
      <w:r>
        <w:rPr>
          <w:rFonts w:ascii="Arial" w:eastAsia="Arial" w:hAnsi="Arial"/>
          <w:b/>
          <w:bCs/>
          <w:color w:val="15512F"/>
        </w:rPr>
        <w:t xml:space="preserve">3.2  </w:t>
      </w:r>
      <w:r>
        <w:rPr>
          <w:rFonts w:ascii="Arial" w:eastAsia="Arial" w:hAnsi="Arial"/>
          <w:color w:val="1A1A1A"/>
        </w:rPr>
        <w:t>Where a batch is released before completion of all tests (for example sterility or full radionuclidic purity), the conditions for such release shall be pre-defined and approved, the responsibilities of the certifying person specified, and a procedure shall ensure review of outstanding results and the actions to be taken in the event of an out-of-specification result after administration. Records shall permit full traceability and reconciliation despite the rapid decay of the product.</w:t>
      </w:r>
    </w:p>
    <w:p w14:paraId="5F462FC1" w14:textId="77777777" w:rsidR="00CD5946" w:rsidRDefault="00000000">
      <w:pPr>
        <w:bidi/>
        <w:spacing w:after="150" w:line="300" w:lineRule="auto"/>
        <w:ind w:right="300" w:hanging="300"/>
        <w:jc w:val="right"/>
      </w:pPr>
      <w:r>
        <w:rPr>
          <w:rFonts w:ascii="Arial" w:eastAsia="Arial" w:hAnsi="Arial"/>
          <w:color w:val="333333"/>
          <w:sz w:val="20"/>
          <w:szCs w:val="20"/>
          <w:rtl/>
        </w:rPr>
        <w:t>حيث تُفرَج الدفعة قبل اكتمال الاختبارات (كالتعقيم أو النقاء النووي) تُحدّد وتُعتمد شروط الإفراج مسبقاً، وتُحدّد مسؤوليات المُعتمِد، ويضمن إجراء مراجعة النتائج المعلّقة والإجراءات عند نتيجة خارج المواصفة بعد الإعطاء. وتُتيح السجلات التتبّع والمطابقة رغم التحلّل السريع.</w:t>
      </w:r>
      <w:r>
        <w:rPr>
          <w:rFonts w:ascii="Arial" w:eastAsia="Arial" w:hAnsi="Arial"/>
          <w:b/>
          <w:bCs/>
          <w:color w:val="15512F"/>
          <w:sz w:val="20"/>
          <w:szCs w:val="20"/>
          <w:rtl/>
        </w:rPr>
        <w:t xml:space="preserve">  ⁦</w:t>
      </w:r>
      <w:r>
        <w:rPr>
          <w:rFonts w:ascii="Arial" w:eastAsia="Arial" w:hAnsi="Arial"/>
          <w:b/>
          <w:bCs/>
          <w:color w:val="15512F"/>
          <w:sz w:val="20"/>
          <w:szCs w:val="20"/>
        </w:rPr>
        <w:t>3.2</w:t>
      </w:r>
      <w:r>
        <w:rPr>
          <w:rFonts w:ascii="Arial" w:eastAsia="Arial" w:hAnsi="Arial"/>
          <w:b/>
          <w:bCs/>
          <w:color w:val="15512F"/>
          <w:sz w:val="20"/>
          <w:szCs w:val="20"/>
          <w:rtl/>
        </w:rPr>
        <w:t>⁩</w:t>
      </w:r>
    </w:p>
    <w:p w14:paraId="22A2E9D0" w14:textId="77777777" w:rsidR="00CD5946" w:rsidRDefault="00000000">
      <w:pPr>
        <w:pBdr>
          <w:left w:val="single" w:sz="6" w:space="8" w:color="CFCFCF"/>
        </w:pBd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Release before completion of testing is a deliberate, controlled exception unique to short-lived products — it is not a relaxation of standards. The validated process and in-process controls carry the assurance; the outstanding tests (notably sterility) confirm it retrospectively, with a defined response if a result later fails.</w:t>
      </w:r>
    </w:p>
    <w:p w14:paraId="5EF09D36" w14:textId="77777777" w:rsidR="00CD5946" w:rsidRDefault="00000000">
      <w:pPr>
        <w:bidi/>
        <w:spacing w:after="140"/>
        <w:ind w:right="300"/>
        <w:jc w:val="right"/>
      </w:pPr>
      <w:r>
        <w:rPr>
          <w:rFonts w:ascii="Arial" w:eastAsia="Arial" w:hAnsi="Arial"/>
          <w:color w:val="5A5A5A"/>
          <w:sz w:val="18"/>
          <w:szCs w:val="18"/>
          <w:rtl/>
        </w:rPr>
        <w:t>الإفراج قبل اكتمال الاختبار استثناء مضبوط خاص بالمنتجات قصيرة العمر وليس تخفيفاً للمعايير؛ فالعملية المُتحقّقة والضوابط تحمل الضمان، وتؤكّده الاختبارات المعلّقة (ولا سيّما التعقيم) لاحقاً مع استجابة محدّدة عند الإخفاق.</w:t>
      </w:r>
      <w:r>
        <w:rPr>
          <w:rFonts w:ascii="Arial" w:eastAsia="Arial" w:hAnsi="Arial"/>
          <w:b/>
          <w:bCs/>
          <w:color w:val="5A5A5A"/>
          <w:sz w:val="18"/>
          <w:szCs w:val="18"/>
          <w:rtl/>
        </w:rPr>
        <w:t xml:space="preserve">  ملاحظة.</w:t>
      </w:r>
    </w:p>
    <w:p w14:paraId="4FCC19DA" w14:textId="77777777" w:rsidR="00CD5946" w:rsidRDefault="00000000">
      <w:pPr>
        <w:spacing w:before="20" w:after="60"/>
        <w:jc w:val="both"/>
      </w:pPr>
      <w:r>
        <w:rPr>
          <w:rFonts w:ascii="Calibri" w:eastAsia="Calibri" w:hAnsi="Calibri"/>
          <w:b/>
          <w:color w:val="0E5A50"/>
          <w:sz w:val="20"/>
        </w:rPr>
        <w:t xml:space="preserve">3.3  </w:t>
      </w:r>
      <w:r>
        <w:rPr>
          <w:sz w:val="20"/>
        </w:rPr>
        <w:t>Radiation protection shall be integrated with GMP: shielded hot cells or isolators of the appropriate cleanliness grade shall be used, and the conflicting needs of product sterility/cleanliness and operator protection shall both be satisfied and documented.</w:t>
      </w:r>
    </w:p>
    <w:p w14:paraId="640895FD" w14:textId="77777777" w:rsidR="00CD5946" w:rsidRDefault="00000000">
      <w:pPr>
        <w:bidi/>
        <w:spacing w:before="20" w:after="60"/>
        <w:jc w:val="both"/>
      </w:pPr>
      <w:r>
        <w:rPr>
          <w:rFonts w:ascii="Arial" w:eastAsia="Arial" w:hAnsi="Arial"/>
          <w:sz w:val="20"/>
          <w:rtl/>
        </w:rPr>
        <w:t xml:space="preserve">تُدمَج الحماية الإشعاعية مع الممارسات الجيدة: تُستخدَم خلايا ساخنة مدرّعة أو عوازل بدرجة النظافة الملائمة، ويُستوفى ويُوثَّق التوفيق بين تعقيم/نظافة المنتج وحماية المشغِّل.  </w:t>
      </w:r>
      <w:r>
        <w:rPr>
          <w:rFonts w:ascii="Calibri" w:eastAsia="Calibri" w:hAnsi="Calibri"/>
          <w:b/>
          <w:color w:val="14756A"/>
          <w:sz w:val="20"/>
        </w:rPr>
        <w:t>3.3</w:t>
      </w:r>
    </w:p>
    <w:p w14:paraId="386EE3ED" w14:textId="77777777" w:rsidR="00CD5946" w:rsidRDefault="00000000">
      <w:pPr>
        <w:spacing w:before="20" w:after="60"/>
        <w:jc w:val="both"/>
      </w:pPr>
      <w:r>
        <w:rPr>
          <w:rFonts w:ascii="Calibri" w:eastAsia="Calibri" w:hAnsi="Calibri"/>
          <w:b/>
          <w:color w:val="0E5A50"/>
          <w:sz w:val="20"/>
        </w:rPr>
        <w:t xml:space="preserve">3.4  </w:t>
      </w:r>
      <w:r>
        <w:rPr>
          <w:sz w:val="20"/>
        </w:rPr>
        <w:t>Because of short half-lives, procedures shall allow for release and administration before completion of all quality-control testing where justified, supported by validated processes, in-process controls and retrospective review of results.</w:t>
      </w:r>
    </w:p>
    <w:p w14:paraId="112ACCD9" w14:textId="77777777" w:rsidR="00CD5946" w:rsidRDefault="00000000">
      <w:pPr>
        <w:bidi/>
        <w:spacing w:before="20" w:after="60"/>
        <w:jc w:val="both"/>
      </w:pPr>
      <w:r>
        <w:rPr>
          <w:rFonts w:ascii="Arial" w:eastAsia="Arial" w:hAnsi="Arial"/>
          <w:sz w:val="20"/>
          <w:rtl/>
        </w:rPr>
        <w:t xml:space="preserve">نظراً لقِصَر أعمار النصف، تُتيح الإجراءات الإفراج والإعطاء قبل اكتمال جميع اختبارات الجودة متى بُرِّر ذلك، مدعوماً بعمليات مُتحقَّقة وضبطٍ أثناء التشغيل ومراجعة لاحقة للنتائج.  </w:t>
      </w:r>
      <w:r>
        <w:rPr>
          <w:rFonts w:ascii="Calibri" w:eastAsia="Calibri" w:hAnsi="Calibri"/>
          <w:b/>
          <w:color w:val="14756A"/>
          <w:sz w:val="20"/>
        </w:rPr>
        <w:t>3.4</w:t>
      </w:r>
    </w:p>
    <w:p w14:paraId="32015AD4" w14:textId="77777777" w:rsidR="00CD5946" w:rsidRDefault="00000000">
      <w:pPr>
        <w:pStyle w:val="Heading2"/>
        <w:spacing w:before="220"/>
      </w:pPr>
      <w:bookmarkStart w:id="160" w:name="__RefHeading___Toc9477_1729075678"/>
      <w:bookmarkEnd w:id="160"/>
      <w:r>
        <w:t>2.  Glossary (Annex 3)</w:t>
      </w:r>
      <w:r>
        <w:rPr>
          <w:b w:val="0"/>
          <w:bCs w:val="0"/>
          <w:color w:val="1A1A1A"/>
          <w:sz w:val="21"/>
          <w:szCs w:val="21"/>
        </w:rPr>
        <w:t xml:space="preserve">   </w:t>
      </w:r>
      <w:r>
        <w:rPr>
          <w:color w:val="C8A24B"/>
          <w:sz w:val="20"/>
          <w:szCs w:val="20"/>
          <w:rtl/>
        </w:rPr>
        <w:t>مسرد الملحق</w:t>
      </w:r>
      <w:r>
        <w:rPr>
          <w:color w:val="C8A24B"/>
          <w:sz w:val="20"/>
          <w:szCs w:val="20"/>
        </w:rPr>
        <w:t xml:space="preserve"> ⁦3⁩</w:t>
      </w:r>
    </w:p>
    <w:p w14:paraId="7906411E" w14:textId="77777777" w:rsidR="00CD5946" w:rsidRDefault="00000000">
      <w:pPr>
        <w:spacing w:before="20" w:after="60"/>
      </w:pPr>
      <w:r>
        <w:rPr>
          <w:b/>
          <w:color w:val="0E5A50"/>
          <w:sz w:val="20"/>
        </w:rPr>
        <w:t xml:space="preserve">Radiopharmaceutical — </w:t>
      </w:r>
      <w:r>
        <w:rPr>
          <w:sz w:val="20"/>
        </w:rPr>
        <w:t>Any medicinal product which, when ready for use, contains one or more radionuclides (radioactive isotopes) included for a medicinal purpose.</w:t>
      </w:r>
    </w:p>
    <w:p w14:paraId="7FFD0E63" w14:textId="77777777" w:rsidR="00CD5946" w:rsidRDefault="00000000">
      <w:pPr>
        <w:spacing w:before="20" w:after="60"/>
      </w:pPr>
      <w:r>
        <w:rPr>
          <w:b/>
          <w:color w:val="0E5A50"/>
          <w:sz w:val="20"/>
        </w:rPr>
        <w:t xml:space="preserve">Radionuclide — </w:t>
      </w:r>
      <w:r>
        <w:rPr>
          <w:sz w:val="20"/>
        </w:rPr>
        <w:t>An unstable nuclide that undergoes radioactive decay, emitting ionising radiation; the radioactive component of a radiopharmaceutical.</w:t>
      </w:r>
    </w:p>
    <w:p w14:paraId="2A1DDAC9" w14:textId="77777777" w:rsidR="00CD5946" w:rsidRDefault="00000000">
      <w:pPr>
        <w:spacing w:before="20" w:after="60"/>
      </w:pPr>
      <w:r>
        <w:rPr>
          <w:b/>
          <w:color w:val="0E5A50"/>
          <w:sz w:val="20"/>
        </w:rPr>
        <w:t xml:space="preserve">Half-life (t½) — </w:t>
      </w:r>
      <w:r>
        <w:rPr>
          <w:sz w:val="20"/>
        </w:rPr>
        <w:t>The time required for the radioactivity of a radionuclide to decay to one-half of its initial value; a determinant of processing time, release and shelf-life.</w:t>
      </w:r>
    </w:p>
    <w:p w14:paraId="565F1D5F" w14:textId="77777777" w:rsidR="00CD5946" w:rsidRDefault="00000000">
      <w:pPr>
        <w:spacing w:before="20" w:after="60"/>
      </w:pPr>
      <w:r>
        <w:rPr>
          <w:b/>
          <w:color w:val="0E5A50"/>
          <w:sz w:val="20"/>
        </w:rPr>
        <w:t xml:space="preserve">Hot cell — </w:t>
      </w:r>
      <w:r>
        <w:rPr>
          <w:sz w:val="20"/>
        </w:rPr>
        <w:t>A shielded, ventilated enclosure providing radiation protection and, where required, an aseptic environment for the manipulation of radioactive materials.</w:t>
      </w:r>
    </w:p>
    <w:p w14:paraId="19F6A2E0" w14:textId="77777777" w:rsidR="00CD5946" w:rsidRDefault="00000000">
      <w:pPr>
        <w:spacing w:before="20" w:after="60"/>
      </w:pPr>
      <w:r>
        <w:rPr>
          <w:b/>
          <w:color w:val="0E5A50"/>
          <w:sz w:val="20"/>
        </w:rPr>
        <w:t xml:space="preserve">Radionuclidic purity — </w:t>
      </w:r>
      <w:r>
        <w:rPr>
          <w:sz w:val="20"/>
        </w:rPr>
        <w:t>The proportion of the total radioactivity that is present as the stated radionuclide; a critical quality attribute for radiopharmaceuticals.</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700"/>
        <w:gridCol w:w="6660"/>
      </w:tblGrid>
      <w:tr w:rsidR="00CD5946" w14:paraId="2EAD61E4" w14:textId="77777777">
        <w:trPr>
          <w:tblHeader/>
        </w:trPr>
        <w:tc>
          <w:tcPr>
            <w:tcW w:w="2700" w:type="dxa"/>
            <w:tcBorders>
              <w:top w:val="single" w:sz="2" w:space="0" w:color="BFC9C0"/>
              <w:left w:val="single" w:sz="2" w:space="0" w:color="BFC9C0"/>
              <w:bottom w:val="single" w:sz="2" w:space="0" w:color="BFC9C0"/>
              <w:right w:val="single" w:sz="2" w:space="0" w:color="BFC9C0"/>
            </w:tcBorders>
            <w:shd w:val="clear" w:color="auto" w:fill="0E5A50"/>
          </w:tcPr>
          <w:p w14:paraId="25D32B4A" w14:textId="77777777" w:rsidR="00CD5946" w:rsidRDefault="00000000">
            <w:pPr>
              <w:spacing w:after="0"/>
            </w:pPr>
            <w:r>
              <w:rPr>
                <w:rFonts w:ascii="Arial" w:eastAsia="Arial" w:hAnsi="Arial"/>
                <w:b/>
                <w:bCs/>
                <w:color w:val="FFFFFF"/>
                <w:sz w:val="18"/>
                <w:szCs w:val="18"/>
              </w:rPr>
              <w:t xml:space="preserve">Term / </w:t>
            </w:r>
            <w:r>
              <w:rPr>
                <w:rFonts w:ascii="Arial" w:eastAsia="Arial" w:hAnsi="Arial"/>
                <w:b/>
                <w:bCs/>
                <w:color w:val="FFFFFF"/>
                <w:sz w:val="18"/>
                <w:szCs w:val="18"/>
                <w:rtl/>
              </w:rPr>
              <w:t>المصطلح</w:t>
            </w:r>
          </w:p>
        </w:tc>
        <w:tc>
          <w:tcPr>
            <w:tcW w:w="6660" w:type="dxa"/>
            <w:tcBorders>
              <w:top w:val="single" w:sz="2" w:space="0" w:color="BFC9C0"/>
              <w:left w:val="single" w:sz="2" w:space="0" w:color="BFC9C0"/>
              <w:bottom w:val="single" w:sz="2" w:space="0" w:color="BFC9C0"/>
              <w:right w:val="single" w:sz="2" w:space="0" w:color="BFC9C0"/>
            </w:tcBorders>
            <w:shd w:val="clear" w:color="auto" w:fill="0E5A50"/>
          </w:tcPr>
          <w:p w14:paraId="31308D66" w14:textId="77777777" w:rsidR="00CD5946" w:rsidRDefault="00000000">
            <w:pPr>
              <w:spacing w:after="0"/>
            </w:pPr>
            <w:r>
              <w:rPr>
                <w:rFonts w:ascii="Arial" w:eastAsia="Arial" w:hAnsi="Arial"/>
                <w:b/>
                <w:bCs/>
                <w:color w:val="FFFFFF"/>
                <w:sz w:val="18"/>
                <w:szCs w:val="18"/>
              </w:rPr>
              <w:t xml:space="preserve">Definition / </w:t>
            </w:r>
            <w:r>
              <w:rPr>
                <w:rFonts w:ascii="Arial" w:eastAsia="Arial" w:hAnsi="Arial"/>
                <w:b/>
                <w:bCs/>
                <w:color w:val="FFFFFF"/>
                <w:sz w:val="18"/>
                <w:szCs w:val="18"/>
                <w:rtl/>
              </w:rPr>
              <w:t>التعريف</w:t>
            </w:r>
          </w:p>
        </w:tc>
      </w:tr>
      <w:tr w:rsidR="00CD5946" w14:paraId="30F2FF4C"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4C912784" w14:textId="77777777" w:rsidR="00CD5946" w:rsidRDefault="00000000">
            <w:pPr>
              <w:spacing w:after="0"/>
            </w:pPr>
            <w:r>
              <w:rPr>
                <w:rFonts w:ascii="Arial" w:eastAsia="Arial" w:hAnsi="Arial"/>
                <w:b/>
                <w:bCs/>
                <w:color w:val="15512F"/>
                <w:sz w:val="18"/>
                <w:szCs w:val="18"/>
              </w:rPr>
              <w:t>Radiopharmaceutical</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77A5DBED" w14:textId="77777777" w:rsidR="00CD5946" w:rsidRDefault="00000000">
            <w:pPr>
              <w:spacing w:after="0"/>
            </w:pPr>
            <w:r>
              <w:rPr>
                <w:rFonts w:ascii="Arial" w:eastAsia="Arial" w:hAnsi="Arial"/>
                <w:color w:val="1A1A1A"/>
                <w:sz w:val="18"/>
                <w:szCs w:val="18"/>
              </w:rPr>
              <w:t xml:space="preserve">A medicinal product which, when ready for use, contains one or more radionuclides for a medicinal purpose. / </w:t>
            </w:r>
            <w:r>
              <w:rPr>
                <w:rFonts w:ascii="Arial" w:eastAsia="Arial" w:hAnsi="Arial"/>
                <w:color w:val="1A1A1A"/>
                <w:sz w:val="18"/>
                <w:szCs w:val="18"/>
                <w:rtl/>
              </w:rPr>
              <w:t>منتج دوائي يحوي نويدات مشعّة لغرض طبي</w:t>
            </w:r>
            <w:r>
              <w:rPr>
                <w:rFonts w:ascii="Arial" w:eastAsia="Arial" w:hAnsi="Arial"/>
                <w:color w:val="1A1A1A"/>
                <w:sz w:val="18"/>
                <w:szCs w:val="18"/>
              </w:rPr>
              <w:t>.</w:t>
            </w:r>
          </w:p>
        </w:tc>
      </w:tr>
      <w:tr w:rsidR="00CD5946" w14:paraId="45E01E1D"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7538C52C" w14:textId="77777777" w:rsidR="00CD5946" w:rsidRDefault="00000000">
            <w:pPr>
              <w:spacing w:after="0"/>
            </w:pPr>
            <w:r>
              <w:rPr>
                <w:rFonts w:ascii="Arial" w:eastAsia="Arial" w:hAnsi="Arial"/>
                <w:b/>
                <w:bCs/>
                <w:color w:val="15512F"/>
                <w:sz w:val="18"/>
                <w:szCs w:val="18"/>
              </w:rPr>
              <w:lastRenderedPageBreak/>
              <w:t>Hot cell</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1DF11C87" w14:textId="77777777" w:rsidR="00CD5946" w:rsidRDefault="00000000">
            <w:pPr>
              <w:spacing w:after="0"/>
            </w:pPr>
            <w:r>
              <w:rPr>
                <w:rFonts w:ascii="Arial" w:eastAsia="Arial" w:hAnsi="Arial"/>
                <w:color w:val="1A1A1A"/>
                <w:sz w:val="18"/>
                <w:szCs w:val="18"/>
              </w:rPr>
              <w:t xml:space="preserve">A shielded enclosure for the handling of radioactive materials that also provides product protection. / </w:t>
            </w:r>
            <w:r>
              <w:rPr>
                <w:rFonts w:ascii="Arial" w:eastAsia="Arial" w:hAnsi="Arial"/>
                <w:color w:val="1A1A1A"/>
                <w:sz w:val="18"/>
                <w:szCs w:val="18"/>
                <w:rtl/>
              </w:rPr>
              <w:t>حجيرة مدرّعة لمناولة المواد المشعّة</w:t>
            </w:r>
            <w:r>
              <w:rPr>
                <w:rFonts w:ascii="Arial" w:eastAsia="Arial" w:hAnsi="Arial"/>
                <w:color w:val="1A1A1A"/>
                <w:sz w:val="18"/>
                <w:szCs w:val="18"/>
              </w:rPr>
              <w:t>.</w:t>
            </w:r>
          </w:p>
        </w:tc>
      </w:tr>
      <w:tr w:rsidR="00CD5946" w14:paraId="7E33B1ED"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41F02BC8" w14:textId="77777777" w:rsidR="00CD5946" w:rsidRDefault="00000000">
            <w:pPr>
              <w:spacing w:after="0"/>
            </w:pPr>
            <w:r>
              <w:rPr>
                <w:rFonts w:ascii="Arial" w:eastAsia="Arial" w:hAnsi="Arial"/>
                <w:b/>
                <w:bCs/>
                <w:color w:val="15512F"/>
                <w:sz w:val="18"/>
                <w:szCs w:val="18"/>
              </w:rPr>
              <w:t>Generator</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35CC6B0D" w14:textId="77777777" w:rsidR="00CD5946" w:rsidRDefault="00000000">
            <w:pPr>
              <w:spacing w:after="0"/>
            </w:pPr>
            <w:r>
              <w:rPr>
                <w:rFonts w:ascii="Arial" w:eastAsia="Arial" w:hAnsi="Arial"/>
                <w:color w:val="1A1A1A"/>
                <w:sz w:val="18"/>
                <w:szCs w:val="18"/>
              </w:rPr>
              <w:t xml:space="preserve">A system incorporating a parent radionuclide from which a daughter radionuclide is eluted for use. / </w:t>
            </w:r>
            <w:r>
              <w:rPr>
                <w:rFonts w:ascii="Arial" w:eastAsia="Arial" w:hAnsi="Arial"/>
                <w:color w:val="1A1A1A"/>
                <w:sz w:val="18"/>
                <w:szCs w:val="18"/>
                <w:rtl/>
              </w:rPr>
              <w:t>نظام يُستخلَص منه نويد وليد</w:t>
            </w:r>
            <w:r>
              <w:rPr>
                <w:rFonts w:ascii="Arial" w:eastAsia="Arial" w:hAnsi="Arial"/>
                <w:color w:val="1A1A1A"/>
                <w:sz w:val="18"/>
                <w:szCs w:val="18"/>
              </w:rPr>
              <w:t>.</w:t>
            </w:r>
          </w:p>
        </w:tc>
      </w:tr>
    </w:tbl>
    <w:p w14:paraId="203DD9FE" w14:textId="77777777" w:rsidR="00CD5946" w:rsidRDefault="00000000">
      <w:pPr>
        <w:spacing w:before="260" w:after="0"/>
        <w:jc w:val="center"/>
      </w:pPr>
      <w:r>
        <w:rPr>
          <w:noProof/>
        </w:rPr>
        <w:drawing>
          <wp:inline distT="0" distB="0" distL="0" distR="0" wp14:anchorId="6CB3300C" wp14:editId="31473D50">
            <wp:extent cx="876300" cy="1238250"/>
            <wp:effectExtent l="0" t="0" r="0" b="0"/>
            <wp:docPr id="9" name="Image8"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7FE0B9B7" w14:textId="77777777" w:rsidR="00CD5946" w:rsidRDefault="00000000">
      <w:pPr>
        <w:spacing w:before="50" w:after="0"/>
        <w:jc w:val="center"/>
      </w:pPr>
      <w:r>
        <w:rPr>
          <w:rFonts w:ascii="Arial" w:eastAsia="Arial" w:hAnsi="Arial"/>
          <w:b/>
          <w:bCs/>
          <w:color w:val="15512F"/>
          <w:sz w:val="19"/>
          <w:szCs w:val="19"/>
        </w:rPr>
        <w:t>AUPAM EXPERTS' OFFICE</w:t>
      </w:r>
    </w:p>
    <w:p w14:paraId="6B419684"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4E383BAA" w14:textId="77777777" w:rsidR="00CD5946" w:rsidRDefault="00000000">
      <w:pPr>
        <w:spacing w:before="10" w:after="0"/>
        <w:jc w:val="center"/>
      </w:pPr>
      <w:r>
        <w:rPr>
          <w:rFonts w:ascii="Arial" w:eastAsia="Arial" w:hAnsi="Arial"/>
          <w:b/>
          <w:bCs/>
          <w:color w:val="B08C37"/>
          <w:sz w:val="24"/>
          <w:szCs w:val="24"/>
        </w:rPr>
        <w:t>2026 EDITION</w:t>
      </w:r>
    </w:p>
    <w:p w14:paraId="5E55D062" w14:textId="77777777" w:rsidR="00CD5946" w:rsidRDefault="00000000">
      <w:pPr>
        <w:spacing w:before="260" w:after="0"/>
        <w:jc w:val="center"/>
      </w:pPr>
      <w:r>
        <w:rPr>
          <w:rFonts w:ascii="Arial" w:eastAsia="Arial" w:hAnsi="Arial"/>
          <w:b/>
          <w:bCs/>
          <w:color w:val="15512F"/>
          <w:sz w:val="54"/>
          <w:szCs w:val="54"/>
        </w:rPr>
        <w:t>ANNEX 6</w:t>
      </w:r>
    </w:p>
    <w:p w14:paraId="1D282176" w14:textId="77777777" w:rsidR="00CD5946" w:rsidRDefault="00000000">
      <w:pPr>
        <w:spacing w:before="40" w:after="0"/>
        <w:jc w:val="center"/>
      </w:pPr>
      <w:r>
        <w:rPr>
          <w:rFonts w:ascii="Arial" w:eastAsia="Arial" w:hAnsi="Arial"/>
          <w:b/>
          <w:bCs/>
          <w:color w:val="1A1A1A"/>
          <w:sz w:val="28"/>
          <w:szCs w:val="28"/>
        </w:rPr>
        <w:t>Manufacture of Medicinal Gases</w:t>
      </w:r>
    </w:p>
    <w:p w14:paraId="279867E3" w14:textId="77777777" w:rsidR="00CD5946" w:rsidRDefault="00000000">
      <w:pPr>
        <w:spacing w:before="16" w:after="0"/>
        <w:jc w:val="center"/>
      </w:pPr>
      <w:r>
        <w:rPr>
          <w:rFonts w:ascii="Arial" w:eastAsia="Arial" w:hAnsi="Arial"/>
          <w:color w:val="5A5A5A"/>
          <w:sz w:val="22"/>
          <w:szCs w:val="22"/>
        </w:rPr>
        <w:t>Cylinder control · cross-connection prevention · EN | AR</w:t>
      </w:r>
    </w:p>
    <w:p w14:paraId="1CD635E6" w14:textId="77777777" w:rsidR="00CD5946" w:rsidRDefault="00000000">
      <w:pPr>
        <w:spacing w:before="26" w:after="0"/>
        <w:jc w:val="center"/>
      </w:pPr>
      <w:r>
        <w:rPr>
          <w:rFonts w:ascii="Arial" w:eastAsia="Arial" w:hAnsi="Arial"/>
          <w:b/>
          <w:bCs/>
          <w:color w:val="15512F"/>
          <w:sz w:val="22"/>
          <w:szCs w:val="22"/>
          <w:rtl/>
        </w:rPr>
        <w:t>الملحق ⁦</w:t>
      </w:r>
      <w:r>
        <w:rPr>
          <w:rFonts w:ascii="Arial" w:eastAsia="Arial" w:hAnsi="Arial"/>
          <w:b/>
          <w:bCs/>
          <w:color w:val="15512F"/>
          <w:sz w:val="22"/>
          <w:szCs w:val="22"/>
        </w:rPr>
        <w:t>6 —</w:t>
      </w:r>
      <w:r>
        <w:rPr>
          <w:rFonts w:ascii="Arial" w:eastAsia="Arial" w:hAnsi="Arial"/>
          <w:b/>
          <w:bCs/>
          <w:color w:val="15512F"/>
          <w:sz w:val="22"/>
          <w:szCs w:val="22"/>
          <w:rtl/>
        </w:rPr>
        <w:t>⁩ الغازات الطبية</w:t>
      </w:r>
    </w:p>
    <w:p w14:paraId="60DE8880"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54278F6F" w14:textId="77777777" w:rsidR="00CD5946" w:rsidRDefault="00000000">
      <w:r>
        <w:br w:type="page"/>
      </w:r>
    </w:p>
    <w:p w14:paraId="0CB6759C" w14:textId="77777777" w:rsidR="00CD5946" w:rsidRDefault="00000000">
      <w:pPr>
        <w:pStyle w:val="Heading1"/>
        <w:spacing w:before="0"/>
      </w:pPr>
      <w:bookmarkStart w:id="161" w:name="__RefHeading___Toc9479_1729075678"/>
      <w:bookmarkEnd w:id="161"/>
      <w:r>
        <w:lastRenderedPageBreak/>
        <w:t>Contents</w:t>
      </w:r>
    </w:p>
    <w:sdt>
      <w:sdtPr>
        <w:id w:val="1220174583"/>
        <w:docPartObj>
          <w:docPartGallery w:val="Table of Contents"/>
          <w:docPartUnique/>
        </w:docPartObj>
      </w:sdtPr>
      <w:sdtContent>
        <w:p w14:paraId="4ECAA4CF"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4F216972"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4FD728DC"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0C474FB9"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26CA30D8"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35C090A2"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3779593D"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45615074"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41583D12"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712BA797"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32C933B5"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6BD1774D"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5DDAA8ED"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288F71ED"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2212652B"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36BFF4D1"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7D1FD9BA"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49F0B2AD"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3203654C"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4751F544"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2E3B17AF"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2C085038"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55FA3E4C"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7C34CE29"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10D5F1F5"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7AB00F9A"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4F5391B6"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5409DC3E"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19530A4C"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21BEBBEF"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2D3C8DC0"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0716D4FF"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11F5F0BD"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23213BAF"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4CFB64D1"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63578143"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2F06D14A"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3397D794"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63361E7B"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2E3C4D18"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5A666796"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25A0C57A"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23C4A6F3"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4A4572A5"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654C10E3"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3230B25A"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1136F107"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03C95437"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5DB07E12"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56E16C4D"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2104B82A"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4D19F634"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780705A6"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4070AC90"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3D98E282"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2D367908"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1DCDFFA6"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02D551AF"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4CAB59E6"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64A4B6A7"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1E001D4E"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0570FDC0"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5AC35C01"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13AD877B"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0333297E"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5CCB75E7"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0477026E"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64A4E277"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2490EB63"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66A30DFA"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185C27EF"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2274B5D2"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72700364"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4E3F05D1" w14:textId="77777777" w:rsidR="00CD5946" w:rsidRDefault="00CD5946"/>
    <w:p w14:paraId="62CF11BE" w14:textId="77777777" w:rsidR="00CD5946" w:rsidRDefault="00000000">
      <w:pPr>
        <w:pStyle w:val="Heading1"/>
      </w:pPr>
      <w:bookmarkStart w:id="162" w:name="__RefHeading___Toc9481_1729075678"/>
      <w:bookmarkEnd w:id="162"/>
      <w:r>
        <w:t xml:space="preserve">Annex 6 — Manufacture of Medicinal Gases  ·  </w:t>
      </w:r>
      <w:r>
        <w:rPr>
          <w:rtl/>
        </w:rPr>
        <w:t xml:space="preserve">الملحق </w:t>
      </w:r>
      <w:r>
        <w:t>6</w:t>
      </w:r>
      <w:r>
        <w:rPr>
          <w:rtl/>
        </w:rPr>
        <w:t xml:space="preserve"> — تصنيع الغازات الطبية</w:t>
      </w:r>
    </w:p>
    <w:p w14:paraId="3CE898AA" w14:textId="77777777" w:rsidR="00CD5946" w:rsidRDefault="00000000">
      <w:pPr>
        <w:spacing w:before="10" w:after="150"/>
      </w:pPr>
      <w:r>
        <w:rPr>
          <w:rFonts w:ascii="Arial" w:eastAsia="Arial" w:hAnsi="Arial"/>
          <w:b/>
          <w:bCs/>
          <w:color w:val="C8A24B"/>
          <w:sz w:val="17"/>
          <w:szCs w:val="17"/>
        </w:rPr>
        <w:t xml:space="preserve">Harmonised with: </w:t>
      </w:r>
      <w:r>
        <w:rPr>
          <w:rFonts w:ascii="Arial" w:eastAsia="Arial" w:hAnsi="Arial"/>
          <w:i/>
          <w:iCs/>
          <w:color w:val="5A5A5A"/>
          <w:sz w:val="17"/>
          <w:szCs w:val="17"/>
        </w:rPr>
        <w:t>EU GMP Annex 6 · SFDA GMP Guide v4.4 · PIC/S PE 009-17 Annex 6 · Ph.Eur. medicinal-gas monographs · ISO standards for gas cylinders and valves</w:t>
      </w:r>
    </w:p>
    <w:p w14:paraId="42358826" w14:textId="77777777" w:rsidR="00CD5946" w:rsidRDefault="00000000">
      <w:pPr>
        <w:pBdr>
          <w:left w:val="single" w:sz="16" w:space="8" w:color="C8A24B"/>
        </w:pBdr>
        <w:spacing w:after="40"/>
        <w:ind w:left="160"/>
      </w:pPr>
      <w:r>
        <w:rPr>
          <w:rFonts w:ascii="Arial" w:eastAsia="Arial" w:hAnsi="Arial"/>
          <w:b/>
          <w:bCs/>
          <w:color w:val="C8A24B"/>
        </w:rPr>
        <w:t xml:space="preserve">Principle.  </w:t>
      </w:r>
      <w:r>
        <w:rPr>
          <w:rFonts w:ascii="Arial" w:eastAsia="Arial" w:hAnsi="Arial"/>
          <w:color w:val="1A1A1A"/>
        </w:rPr>
        <w:t>The manufacture of medicinal gases is carried out by complex technical processes and shall comply with GMP. Particular attention shall be paid to the prevention of cross-contamination between different gases, to the control of moisture and other impurities, and to the integrity and correct identification of cylinders, valves and connections. Because filling and distribution are continuous and involve returnable containers, robust controls over cylinder preparation, filling and labelling are essential to patient safety.</w:t>
      </w:r>
    </w:p>
    <w:p w14:paraId="1AB50435" w14:textId="77777777" w:rsidR="00CD5946" w:rsidRDefault="00000000">
      <w:pPr>
        <w:bidi/>
        <w:spacing w:after="150"/>
        <w:ind w:right="160"/>
        <w:jc w:val="right"/>
      </w:pPr>
      <w:r>
        <w:rPr>
          <w:rFonts w:ascii="Arial" w:eastAsia="Arial" w:hAnsi="Arial"/>
          <w:b/>
          <w:bCs/>
          <w:color w:val="C8A24B"/>
          <w:sz w:val="20"/>
          <w:szCs w:val="20"/>
          <w:rtl/>
        </w:rPr>
        <w:t xml:space="preserve">المبدأ. </w:t>
      </w:r>
      <w:r>
        <w:rPr>
          <w:rFonts w:ascii="Arial" w:eastAsia="Arial" w:hAnsi="Arial"/>
          <w:color w:val="333333"/>
          <w:sz w:val="20"/>
          <w:szCs w:val="20"/>
          <w:rtl/>
        </w:rPr>
        <w:t xml:space="preserve">يُنفّذ تصنيع الغازات الطبية بعمليات تقنية معقّدة ويلتزم بـ </w:t>
      </w:r>
      <w:r>
        <w:rPr>
          <w:rFonts w:ascii="Arial" w:eastAsia="Arial" w:hAnsi="Arial"/>
          <w:color w:val="333333"/>
          <w:sz w:val="20"/>
          <w:szCs w:val="20"/>
        </w:rPr>
        <w:t>GMP</w:t>
      </w:r>
      <w:r>
        <w:rPr>
          <w:rFonts w:ascii="Arial" w:eastAsia="Arial" w:hAnsi="Arial"/>
          <w:color w:val="333333"/>
          <w:sz w:val="20"/>
          <w:szCs w:val="20"/>
          <w:rtl/>
        </w:rPr>
        <w:t>. ويُولى اهتمام خاص لمنع التلوث المتبادل بين الغازات المختلفة، وضبط الرطوبة والشوائب، وسلامة وصحّة تعريف الأسطوانات والصمّامات والوصلات. ولأنّ التعبئة والتوزيع مستمرّان ويشملان حاويات قابلة للإرجاع، تُعدّ ضوابط تحضير الأسطوانات وتعبئتها ووسمها جوهرية لسلامة المريض.</w:t>
      </w:r>
    </w:p>
    <w:p w14:paraId="2D6F1609" w14:textId="77777777" w:rsidR="00CD5946" w:rsidRDefault="00000000">
      <w:pPr>
        <w:pBdr>
          <w:left w:val="single" w:sz="10" w:space="8" w:color="CFCFCF"/>
        </w:pBdr>
        <w:spacing w:before="60" w:after="30"/>
        <w:ind w:left="160"/>
      </w:pPr>
      <w:r>
        <w:rPr>
          <w:rFonts w:ascii="Arial" w:eastAsia="Arial" w:hAnsi="Arial"/>
          <w:b/>
          <w:bCs/>
          <w:color w:val="15512F"/>
          <w:sz w:val="20"/>
          <w:szCs w:val="20"/>
        </w:rPr>
        <w:t xml:space="preserve">Scope.  </w:t>
      </w:r>
      <w:r>
        <w:rPr>
          <w:rFonts w:ascii="Arial" w:eastAsia="Arial" w:hAnsi="Arial"/>
          <w:color w:val="1A1A1A"/>
          <w:sz w:val="20"/>
          <w:szCs w:val="20"/>
        </w:rPr>
        <w:t>This Annex applies to the manufacture of active substance medicinal gases and to the filling and distribution of medicinal gases. It covers production by chemical synthesis or from air (for example separation), and the operations of cylinder preparation, filling, labelling and batch control.</w:t>
      </w:r>
    </w:p>
    <w:p w14:paraId="19AD1444" w14:textId="77777777" w:rsidR="00CD5946" w:rsidRDefault="00000000">
      <w:pPr>
        <w:bidi/>
        <w:spacing w:after="150"/>
        <w:ind w:right="160"/>
        <w:jc w:val="right"/>
      </w:pPr>
      <w:r>
        <w:rPr>
          <w:rFonts w:ascii="Arial" w:eastAsia="Arial" w:hAnsi="Arial"/>
          <w:b/>
          <w:bCs/>
          <w:color w:val="15512F"/>
          <w:sz w:val="20"/>
          <w:szCs w:val="20"/>
          <w:rtl/>
        </w:rPr>
        <w:t xml:space="preserve">النطاق. </w:t>
      </w:r>
      <w:r>
        <w:rPr>
          <w:rFonts w:ascii="Arial" w:eastAsia="Arial" w:hAnsi="Arial"/>
          <w:color w:val="333333"/>
          <w:sz w:val="20"/>
          <w:szCs w:val="20"/>
          <w:rtl/>
        </w:rPr>
        <w:t>ينطبق على تصنيع المواد الفعّالة الغازية وعلى تعبئة وتوزيع الغازات الطبية، بالإنتاج بالتخليق أو من الهواء (الفصل)، وعمليات تحضير الأسطوانات والتعبئة والوسم وضبط الدفعة.</w:t>
      </w:r>
    </w:p>
    <w:p w14:paraId="1FEF22A3" w14:textId="77777777" w:rsidR="00CD5946" w:rsidRDefault="00000000">
      <w:pPr>
        <w:pStyle w:val="Heading2"/>
        <w:spacing w:before="220"/>
      </w:pPr>
      <w:bookmarkStart w:id="163" w:name="__RefHeading___Toc9483_1729075678"/>
      <w:bookmarkEnd w:id="163"/>
      <w:r>
        <w:t>1.  Cylinder control and filling</w:t>
      </w:r>
      <w:r>
        <w:rPr>
          <w:b w:val="0"/>
          <w:bCs w:val="0"/>
          <w:color w:val="1A1A1A"/>
          <w:sz w:val="21"/>
          <w:szCs w:val="21"/>
        </w:rPr>
        <w:t xml:space="preserve">   </w:t>
      </w:r>
      <w:r>
        <w:rPr>
          <w:color w:val="C8A24B"/>
          <w:sz w:val="20"/>
          <w:szCs w:val="20"/>
          <w:rtl/>
        </w:rPr>
        <w:t>ضبط الأسطوانات والتعبئة</w:t>
      </w:r>
    </w:p>
    <w:p w14:paraId="341087F4" w14:textId="77777777" w:rsidR="00CD5946" w:rsidRDefault="00000000">
      <w:pPr>
        <w:spacing w:after="40" w:line="266" w:lineRule="auto"/>
        <w:ind w:left="300" w:hanging="300"/>
      </w:pPr>
      <w:r>
        <w:rPr>
          <w:rFonts w:ascii="Arial" w:eastAsia="Arial" w:hAnsi="Arial"/>
          <w:b/>
          <w:bCs/>
          <w:color w:val="15512F"/>
        </w:rPr>
        <w:t xml:space="preserve">6.1  </w:t>
      </w:r>
      <w:r>
        <w:rPr>
          <w:rFonts w:ascii="Arial" w:eastAsia="Arial" w:hAnsi="Arial"/>
          <w:color w:val="1A1A1A"/>
        </w:rPr>
        <w:t xml:space="preserve">Before filling, each cylinder and its valve shall be checked for correct condition, identity and the presence of residual positive pressure; cylinders shall be subject to defined maintenance, internal inspection and hydrostatic/periodic testing. Filling manifolds and connections shall be designed and fitted with gas-specific connections to prevent the filling of a cylinder with the wrong gas </w:t>
        <w:lastRenderedPageBreak/>
        <w:t>(prevention of cross-connection), and the system shall be purged/evacuated as validated before filling.</w:t>
      </w:r>
    </w:p>
    <w:p w14:paraId="793C7314" w14:textId="77777777" w:rsidR="00CD5946" w:rsidRDefault="00000000">
      <w:pPr>
        <w:bidi/>
        <w:spacing w:after="150" w:line="300" w:lineRule="auto"/>
        <w:ind w:right="300" w:hanging="300"/>
        <w:jc w:val="right"/>
      </w:pPr>
      <w:r>
        <w:rPr>
          <w:rFonts w:ascii="Arial" w:eastAsia="Arial" w:hAnsi="Arial"/>
          <w:color w:val="333333"/>
          <w:sz w:val="20"/>
          <w:szCs w:val="20"/>
          <w:rtl/>
        </w:rPr>
        <w:t>قبل التعبئة تُفحص كل أسطوانة وصمّامها للتأكّد من الحالة والهوية ووجود ضغط موجب متبقٍّ؛ وتخضع لصيانة وفحص داخلي واختبار دوري. وتُصمّم وصلات التعبئة بوصلات خاصة بكل غاز لمنع تعبئة الأسطوانة بغاز خاطئ (منع التوصيل الخاطئ)، ويُطهّر/يُفرّغ النظام بصورة مُتحقّقة قبل التعبئة.</w:t>
      </w:r>
      <w:r>
        <w:rPr>
          <w:rFonts w:ascii="Arial" w:eastAsia="Arial" w:hAnsi="Arial"/>
          <w:b/>
          <w:bCs/>
          <w:color w:val="15512F"/>
          <w:sz w:val="20"/>
          <w:szCs w:val="20"/>
          <w:rtl/>
        </w:rPr>
        <w:t xml:space="preserve">  ⁦</w:t>
      </w:r>
      <w:r>
        <w:rPr>
          <w:rFonts w:ascii="Arial" w:eastAsia="Arial" w:hAnsi="Arial"/>
          <w:b/>
          <w:bCs/>
          <w:color w:val="15512F"/>
          <w:sz w:val="20"/>
          <w:szCs w:val="20"/>
        </w:rPr>
        <w:t>6.1</w:t>
      </w:r>
      <w:r>
        <w:rPr>
          <w:rFonts w:ascii="Arial" w:eastAsia="Arial" w:hAnsi="Arial"/>
          <w:b/>
          <w:bCs/>
          <w:color w:val="15512F"/>
          <w:sz w:val="20"/>
          <w:szCs w:val="20"/>
          <w:rtl/>
        </w:rPr>
        <w:t>⁩</w:t>
      </w:r>
    </w:p>
    <w:p w14:paraId="1F17C57F" w14:textId="77777777" w:rsidR="00CD5946" w:rsidRDefault="00000000">
      <w:pPr>
        <w:spacing w:after="40" w:line="266" w:lineRule="auto"/>
        <w:ind w:left="300" w:hanging="300"/>
      </w:pPr>
      <w:r>
        <w:rPr>
          <w:rFonts w:ascii="Arial" w:eastAsia="Arial" w:hAnsi="Arial"/>
          <w:b/>
          <w:bCs/>
          <w:color w:val="15512F"/>
        </w:rPr>
        <w:t xml:space="preserve">6.2  </w:t>
      </w:r>
      <w:r>
        <w:rPr>
          <w:rFonts w:ascii="Arial" w:eastAsia="Arial" w:hAnsi="Arial"/>
          <w:color w:val="1A1A1A"/>
        </w:rPr>
        <w:t>After filling, every cylinder shall be checked for leaks and correct labelling; identity and assay shall be tested on at least one cylinder from each uninterrupted filling cycle (each manifold filling cycle where manifold-filled), impurities where required by the specification, and each mobile cryogenic vessel shall be tested for identity and assay. Batch documentation shall permit traceability of each filled cylinder to the bulk gas and the filling operation. A batch, for filling, is normally defined as the cylinders filled in one continuous operation from the same source under homogeneous conditions.</w:t>
      </w:r>
    </w:p>
    <w:p w14:paraId="6E005D18" w14:textId="77777777" w:rsidR="00CD5946" w:rsidRDefault="00000000">
      <w:pPr>
        <w:bidi/>
        <w:spacing w:after="150" w:line="300" w:lineRule="auto"/>
        <w:ind w:right="300" w:hanging="300"/>
        <w:jc w:val="right"/>
      </w:pPr>
      <w:r>
        <w:rPr>
          <w:rFonts w:ascii="Arial" w:eastAsia="Arial" w:hAnsi="Arial"/>
          <w:color w:val="333333"/>
          <w:sz w:val="20"/>
          <w:szCs w:val="20"/>
          <w:rtl/>
        </w:rPr>
        <w:t>بعد التعبئة تُفحص كل أسطوانة للتسرّب وصحة الوسم؛ وتُختبر الهوية والمعايرة على أسطوانة واحدة على الأقل من كل دورة تعبئة متصلة (ولكل وعاء مبرّد متنقل)، والشوائب عند اللزوم. وتُتيح وثائق الدفعة تتبّع كل أسطوانة إلى الغاز السائب وعملية التعبئة. وتُعرّف الدفعة عادةً بأنّها الأسطوانات المُعبّأة في عملية متصلة واحدة من المصدر نفسه بظروف متجانسة.</w:t>
      </w:r>
      <w:r>
        <w:rPr>
          <w:rFonts w:ascii="Arial" w:eastAsia="Arial" w:hAnsi="Arial"/>
          <w:b/>
          <w:bCs/>
          <w:color w:val="15512F"/>
          <w:sz w:val="20"/>
          <w:szCs w:val="20"/>
          <w:rtl/>
        </w:rPr>
        <w:t xml:space="preserve">  ⁦</w:t>
      </w:r>
      <w:r>
        <w:rPr>
          <w:rFonts w:ascii="Arial" w:eastAsia="Arial" w:hAnsi="Arial"/>
          <w:b/>
          <w:bCs/>
          <w:color w:val="15512F"/>
          <w:sz w:val="20"/>
          <w:szCs w:val="20"/>
        </w:rPr>
        <w:t>6.2</w:t>
      </w:r>
      <w:r>
        <w:rPr>
          <w:rFonts w:ascii="Arial" w:eastAsia="Arial" w:hAnsi="Arial"/>
          <w:b/>
          <w:bCs/>
          <w:color w:val="15512F"/>
          <w:sz w:val="20"/>
          <w:szCs w:val="20"/>
          <w:rtl/>
        </w:rPr>
        <w:t>⁩</w:t>
      </w:r>
    </w:p>
    <w:p w14:paraId="1F005842" w14:textId="77777777" w:rsidR="00CD5946" w:rsidRDefault="00000000">
      <w:pPr>
        <w:pBdr>
          <w:left w:val="single" w:sz="6" w:space="8" w:color="CFCFCF"/>
        </w:pBd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Gas-specific (non-interchangeable) valve connections are the primary engineering control preventing a fatal mix-up between, for example, medical oxygen and other gases. This control is verified at design and at each filling, and is not substituted by labelling alone.</w:t>
      </w:r>
    </w:p>
    <w:p w14:paraId="6B469D3D" w14:textId="77777777" w:rsidR="00CD5946" w:rsidRDefault="00000000">
      <w:pPr>
        <w:bidi/>
        <w:spacing w:after="140"/>
        <w:ind w:right="300"/>
        <w:jc w:val="right"/>
      </w:pPr>
      <w:r>
        <w:rPr>
          <w:rFonts w:ascii="Arial" w:eastAsia="Arial" w:hAnsi="Arial"/>
          <w:color w:val="5A5A5A"/>
          <w:sz w:val="18"/>
          <w:szCs w:val="18"/>
          <w:rtl/>
        </w:rPr>
        <w:t>تُعدّ وصلات الصمّامات الخاصة بكل غاز (غير القابلة للتبادل) الضابط الهندسي الرئيسي لمنع خلط قاتل — مثلاً بين الأكسجين الطبي وغيره. ويُتحقّق منه عند التصميم وكل تعبئة، ولا يُستعاض عنه بالوسم وحده.</w:t>
      </w:r>
      <w:r>
        <w:rPr>
          <w:rFonts w:ascii="Arial" w:eastAsia="Arial" w:hAnsi="Arial"/>
          <w:b/>
          <w:bCs/>
          <w:color w:val="5A5A5A"/>
          <w:sz w:val="18"/>
          <w:szCs w:val="18"/>
          <w:rtl/>
        </w:rPr>
        <w:t xml:space="preserve">  ملاحظة.</w:t>
      </w:r>
    </w:p>
    <w:p w14:paraId="0F0B0F05" w14:textId="77777777" w:rsidR="00CD5946" w:rsidRDefault="00000000">
      <w:pPr>
        <w:spacing w:before="20" w:after="60"/>
        <w:jc w:val="both"/>
      </w:pPr>
      <w:r>
        <w:rPr>
          <w:rFonts w:ascii="Calibri" w:eastAsia="Calibri" w:hAnsi="Calibri"/>
          <w:b/>
          <w:color w:val="0E5A50"/>
          <w:sz w:val="20"/>
        </w:rPr>
        <w:t xml:space="preserve">6.3  </w:t>
      </w:r>
      <w:r>
        <w:rPr>
          <w:sz w:val="20"/>
        </w:rPr>
        <w:t>Before filling, each cylinder or tank shall be checked for the correct previous content, integrity and validity of periodic inspection; a residual-pressure or non-return valve shall be used to prevent contamination, and procedures shall prevent mix-ups between medicinal and industrial gases.</w:t>
      </w:r>
    </w:p>
    <w:p w14:paraId="364BEEFC" w14:textId="77777777" w:rsidR="00CD5946" w:rsidRDefault="00000000">
      <w:pPr>
        <w:bidi/>
        <w:spacing w:before="20" w:after="60"/>
        <w:jc w:val="both"/>
      </w:pPr>
      <w:r>
        <w:rPr>
          <w:rFonts w:ascii="Arial" w:eastAsia="Arial" w:hAnsi="Arial"/>
          <w:sz w:val="20"/>
          <w:rtl/>
        </w:rPr>
        <w:t xml:space="preserve">قبل التعبئة، يُفحَص كلّ أسطوانة أو خزّان للتأكّد من المحتوى السابق الصحيح والسلامة وصلاحية الفحص الدوري؛ ويُستخدَم صمّام ضغطٍ متبقٍّ أو صمّام لا-رجوع لمنع التلوّث، وتمنع الإجراءات الاختلاط بين الغازات الطبية والصناعية.  </w:t>
      </w:r>
      <w:r>
        <w:rPr>
          <w:rFonts w:ascii="Calibri" w:eastAsia="Calibri" w:hAnsi="Calibri"/>
          <w:b/>
          <w:color w:val="14756A"/>
          <w:sz w:val="20"/>
        </w:rPr>
        <w:t>6.3</w:t>
      </w:r>
    </w:p>
    <w:p w14:paraId="1A1C0DEB" w14:textId="77777777" w:rsidR="00CD5946" w:rsidRDefault="00000000">
      <w:pPr>
        <w:spacing w:before="20" w:after="60"/>
        <w:jc w:val="both"/>
      </w:pPr>
      <w:r>
        <w:rPr>
          <w:rFonts w:ascii="Calibri" w:eastAsia="Calibri" w:hAnsi="Calibri"/>
          <w:b/>
          <w:color w:val="0E5A50"/>
          <w:sz w:val="20"/>
        </w:rPr>
        <w:t xml:space="preserve">6.4  </w:t>
      </w:r>
      <w:r>
        <w:rPr>
          <w:sz w:val="20"/>
        </w:rPr>
        <w:t>Identity and assay of the filled gas shall be confirmed against specification; for each filling cycle at least one cylinder shall be tested, and labelling and colour-coding shall comply with the applicable pharmacopoeial and national requirements.</w:t>
      </w:r>
    </w:p>
    <w:p w14:paraId="414EB814" w14:textId="77777777" w:rsidR="00CD5946" w:rsidRDefault="00000000">
      <w:pPr>
        <w:bidi/>
        <w:spacing w:before="20" w:after="60"/>
        <w:jc w:val="both"/>
      </w:pPr>
      <w:r>
        <w:rPr>
          <w:rFonts w:ascii="Arial" w:eastAsia="Arial" w:hAnsi="Arial"/>
          <w:sz w:val="20"/>
          <w:rtl/>
        </w:rPr>
        <w:t xml:space="preserve">تُؤكَّد هويّة الغاز المعبّأ وعياره مقابل المواصفة؛ ولكلّ دورة تعبئة تُختبَر أسطوانة واحدة على الأقلّ، ويلتزم الوسم والترميز اللوني بالمتطلّبات الدستورية والوطنية المنطبقة.  </w:t>
      </w:r>
      <w:r>
        <w:rPr>
          <w:rFonts w:ascii="Calibri" w:eastAsia="Calibri" w:hAnsi="Calibri"/>
          <w:b/>
          <w:color w:val="14756A"/>
          <w:sz w:val="20"/>
        </w:rPr>
        <w:t>6.4</w:t>
      </w:r>
    </w:p>
    <w:p w14:paraId="03F8AA97" w14:textId="77777777" w:rsidR="00CD5946" w:rsidRDefault="00000000">
      <w:pPr>
        <w:pStyle w:val="Heading2"/>
        <w:spacing w:before="220"/>
      </w:pPr>
      <w:bookmarkStart w:id="164" w:name="__RefHeading___Toc9485_1729075678"/>
      <w:bookmarkEnd w:id="164"/>
      <w:r>
        <w:t>2.  Glossary (Annex 6)</w:t>
      </w:r>
      <w:r>
        <w:rPr>
          <w:b w:val="0"/>
          <w:bCs w:val="0"/>
          <w:color w:val="1A1A1A"/>
          <w:sz w:val="21"/>
          <w:szCs w:val="21"/>
        </w:rPr>
        <w:t xml:space="preserve">   </w:t>
      </w:r>
      <w:r>
        <w:rPr>
          <w:color w:val="C8A24B"/>
          <w:sz w:val="20"/>
          <w:szCs w:val="20"/>
          <w:rtl/>
        </w:rPr>
        <w:t>مسرد الملحق</w:t>
      </w:r>
      <w:r>
        <w:rPr>
          <w:color w:val="C8A24B"/>
          <w:sz w:val="20"/>
          <w:szCs w:val="20"/>
        </w:rPr>
        <w:t xml:space="preserve"> ⁦6⁩</w:t>
      </w:r>
    </w:p>
    <w:p w14:paraId="75B515BB" w14:textId="77777777" w:rsidR="00CD5946" w:rsidRDefault="00000000">
      <w:pPr>
        <w:spacing w:before="20" w:after="60"/>
      </w:pPr>
      <w:r>
        <w:rPr>
          <w:b/>
          <w:color w:val="0E5A50"/>
          <w:sz w:val="20"/>
        </w:rPr>
        <w:t xml:space="preserve">Medicinal gas — </w:t>
      </w:r>
      <w:r>
        <w:rPr>
          <w:sz w:val="20"/>
        </w:rPr>
        <w:t>Any gas or mixture of gases classified as a medicinal product, intended for administration to patients for therapeutic, diagnostic or prophylactic purposes.</w:t>
      </w:r>
    </w:p>
    <w:p w14:paraId="3F0F8D96" w14:textId="77777777" w:rsidR="00CD5946" w:rsidRDefault="00000000">
      <w:pPr>
        <w:spacing w:before="20" w:after="60"/>
      </w:pPr>
      <w:r>
        <w:rPr>
          <w:b/>
          <w:color w:val="0E5A50"/>
          <w:sz w:val="20"/>
        </w:rPr>
        <w:t xml:space="preserve">Cryogenic vessel — </w:t>
      </w:r>
      <w:r>
        <w:rPr>
          <w:sz w:val="20"/>
        </w:rPr>
        <w:t>A static or mobile thermally-insulated container designed to hold liquefied gas at extremely low temperature.</w:t>
      </w:r>
    </w:p>
    <w:p w14:paraId="52B787A3" w14:textId="77777777" w:rsidR="00CD5946" w:rsidRDefault="00000000">
      <w:pPr>
        <w:spacing w:before="20" w:after="60"/>
      </w:pPr>
      <w:r>
        <w:rPr>
          <w:b/>
          <w:color w:val="0E5A50"/>
          <w:sz w:val="20"/>
        </w:rPr>
        <w:t xml:space="preserve">Manifold — </w:t>
      </w:r>
      <w:r>
        <w:rPr>
          <w:sz w:val="20"/>
        </w:rPr>
        <w:t>Equipment or apparatus designed to enable one or more gas containers to be filled simultaneously from the same source.</w:t>
      </w:r>
    </w:p>
    <w:p w14:paraId="65DB5161" w14:textId="77777777" w:rsidR="00CD5946" w:rsidRDefault="00000000">
      <w:pPr>
        <w:spacing w:before="20" w:after="60"/>
      </w:pPr>
      <w:r>
        <w:rPr>
          <w:b/>
          <w:color w:val="0E5A50"/>
          <w:sz w:val="20"/>
        </w:rPr>
        <w:t xml:space="preserve">Cylinder — </w:t>
      </w:r>
      <w:r>
        <w:rPr>
          <w:sz w:val="20"/>
        </w:rPr>
        <w:t>A transportable pressure container, typically of water capacity not exceeding 150 L, used for the storage and transport of gas under pressure.</w:t>
      </w:r>
    </w:p>
    <w:p w14:paraId="29CDD5EC" w14:textId="77777777" w:rsidR="00CD5946" w:rsidRDefault="00000000">
      <w:pPr>
        <w:spacing w:before="20" w:after="60"/>
      </w:pPr>
      <w:r>
        <w:rPr>
          <w:b/>
          <w:color w:val="0E5A50"/>
          <w:sz w:val="20"/>
        </w:rPr>
        <w:t xml:space="preserve">Purging — </w:t>
      </w:r>
      <w:r>
        <w:rPr>
          <w:sz w:val="20"/>
        </w:rPr>
        <w:t>The removal of residual gas/contaminant from a container or system by evacuation and pressurisation, or by flow-through with the relevant gas, to a defined acceptance criterion.</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700"/>
        <w:gridCol w:w="6660"/>
      </w:tblGrid>
      <w:tr w:rsidR="00CD5946" w14:paraId="637E5BCE" w14:textId="77777777">
        <w:trPr>
          <w:tblHeader/>
        </w:trPr>
        <w:tc>
          <w:tcPr>
            <w:tcW w:w="2700" w:type="dxa"/>
            <w:tcBorders>
              <w:top w:val="single" w:sz="2" w:space="0" w:color="BFC9C0"/>
              <w:left w:val="single" w:sz="2" w:space="0" w:color="BFC9C0"/>
              <w:bottom w:val="single" w:sz="2" w:space="0" w:color="BFC9C0"/>
              <w:right w:val="single" w:sz="2" w:space="0" w:color="BFC9C0"/>
            </w:tcBorders>
            <w:shd w:val="clear" w:color="auto" w:fill="0E5A50"/>
          </w:tcPr>
          <w:p w14:paraId="589496D9" w14:textId="77777777" w:rsidR="00CD5946" w:rsidRDefault="00000000">
            <w:pPr>
              <w:spacing w:after="0"/>
            </w:pPr>
            <w:r>
              <w:rPr>
                <w:rFonts w:ascii="Arial" w:eastAsia="Arial" w:hAnsi="Arial"/>
                <w:b/>
                <w:bCs/>
                <w:color w:val="FFFFFF"/>
                <w:sz w:val="18"/>
                <w:szCs w:val="18"/>
              </w:rPr>
              <w:t xml:space="preserve">Term / </w:t>
            </w:r>
            <w:r>
              <w:rPr>
                <w:rFonts w:ascii="Arial" w:eastAsia="Arial" w:hAnsi="Arial"/>
                <w:b/>
                <w:bCs/>
                <w:color w:val="FFFFFF"/>
                <w:sz w:val="18"/>
                <w:szCs w:val="18"/>
                <w:rtl/>
              </w:rPr>
              <w:t>المصطلح</w:t>
            </w:r>
          </w:p>
        </w:tc>
        <w:tc>
          <w:tcPr>
            <w:tcW w:w="6660" w:type="dxa"/>
            <w:tcBorders>
              <w:top w:val="single" w:sz="2" w:space="0" w:color="BFC9C0"/>
              <w:left w:val="single" w:sz="2" w:space="0" w:color="BFC9C0"/>
              <w:bottom w:val="single" w:sz="2" w:space="0" w:color="BFC9C0"/>
              <w:right w:val="single" w:sz="2" w:space="0" w:color="BFC9C0"/>
            </w:tcBorders>
            <w:shd w:val="clear" w:color="auto" w:fill="0E5A50"/>
          </w:tcPr>
          <w:p w14:paraId="576BF40C" w14:textId="77777777" w:rsidR="00CD5946" w:rsidRDefault="00000000">
            <w:pPr>
              <w:spacing w:after="0"/>
            </w:pPr>
            <w:r>
              <w:rPr>
                <w:rFonts w:ascii="Arial" w:eastAsia="Arial" w:hAnsi="Arial"/>
                <w:b/>
                <w:bCs/>
                <w:color w:val="FFFFFF"/>
                <w:sz w:val="18"/>
                <w:szCs w:val="18"/>
              </w:rPr>
              <w:t xml:space="preserve">Definition / </w:t>
            </w:r>
            <w:r>
              <w:rPr>
                <w:rFonts w:ascii="Arial" w:eastAsia="Arial" w:hAnsi="Arial"/>
                <w:b/>
                <w:bCs/>
                <w:color w:val="FFFFFF"/>
                <w:sz w:val="18"/>
                <w:szCs w:val="18"/>
                <w:rtl/>
              </w:rPr>
              <w:t>التعريف</w:t>
            </w:r>
          </w:p>
        </w:tc>
      </w:tr>
      <w:tr w:rsidR="00CD5946" w14:paraId="04B32640"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0194D9D0" w14:textId="77777777" w:rsidR="00CD5946" w:rsidRDefault="00000000">
            <w:pPr>
              <w:spacing w:after="0"/>
            </w:pPr>
            <w:r>
              <w:rPr>
                <w:rFonts w:ascii="Arial" w:eastAsia="Arial" w:hAnsi="Arial"/>
                <w:b/>
                <w:bCs/>
                <w:color w:val="15512F"/>
                <w:sz w:val="18"/>
                <w:szCs w:val="18"/>
              </w:rPr>
              <w:t>Medicinal gas</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4674AA39" w14:textId="77777777" w:rsidR="00CD5946" w:rsidRDefault="00000000">
            <w:pPr>
              <w:spacing w:after="0"/>
            </w:pPr>
            <w:r>
              <w:rPr>
                <w:rFonts w:ascii="Arial" w:eastAsia="Arial" w:hAnsi="Arial"/>
                <w:color w:val="1A1A1A"/>
                <w:sz w:val="18"/>
                <w:szCs w:val="18"/>
              </w:rPr>
              <w:t xml:space="preserve">Any gas or mixture of gases classified as a medicinal product. / </w:t>
            </w:r>
            <w:r>
              <w:rPr>
                <w:rFonts w:ascii="Arial" w:eastAsia="Arial" w:hAnsi="Arial"/>
                <w:color w:val="1A1A1A"/>
                <w:sz w:val="18"/>
                <w:szCs w:val="18"/>
                <w:rtl/>
              </w:rPr>
              <w:t>غاز أو خليط غازات مُصنّف كمنتج دوائي</w:t>
            </w:r>
            <w:r>
              <w:rPr>
                <w:rFonts w:ascii="Arial" w:eastAsia="Arial" w:hAnsi="Arial"/>
                <w:color w:val="1A1A1A"/>
                <w:sz w:val="18"/>
                <w:szCs w:val="18"/>
              </w:rPr>
              <w:t>.</w:t>
            </w:r>
          </w:p>
        </w:tc>
      </w:tr>
      <w:tr w:rsidR="00CD5946" w14:paraId="141264CC"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67CF2683" w14:textId="77777777" w:rsidR="00CD5946" w:rsidRDefault="00000000">
            <w:pPr>
              <w:spacing w:after="0"/>
            </w:pPr>
            <w:r>
              <w:rPr>
                <w:rFonts w:ascii="Arial" w:eastAsia="Arial" w:hAnsi="Arial"/>
                <w:b/>
                <w:bCs/>
                <w:color w:val="15512F"/>
                <w:sz w:val="18"/>
                <w:szCs w:val="18"/>
              </w:rPr>
              <w:t>Cross-connection</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11055173" w14:textId="77777777" w:rsidR="00CD5946" w:rsidRDefault="00000000">
            <w:pPr>
              <w:spacing w:after="0"/>
            </w:pPr>
            <w:r>
              <w:rPr>
                <w:rFonts w:ascii="Arial" w:eastAsia="Arial" w:hAnsi="Arial"/>
                <w:color w:val="1A1A1A"/>
                <w:sz w:val="18"/>
                <w:szCs w:val="18"/>
              </w:rPr>
              <w:t xml:space="preserve">An incorrect connection allowing a cylinder to be filled with the wrong gas; prevented by gas-specific fittings. / </w:t>
            </w:r>
            <w:r>
              <w:rPr>
                <w:rFonts w:ascii="Arial" w:eastAsia="Arial" w:hAnsi="Arial"/>
                <w:color w:val="1A1A1A"/>
                <w:sz w:val="18"/>
                <w:szCs w:val="18"/>
                <w:rtl/>
              </w:rPr>
              <w:t>توصيل خاطئ يسمح بتعبئة غاز خاطئ</w:t>
            </w:r>
            <w:r>
              <w:rPr>
                <w:rFonts w:ascii="Arial" w:eastAsia="Arial" w:hAnsi="Arial"/>
                <w:color w:val="1A1A1A"/>
                <w:sz w:val="18"/>
                <w:szCs w:val="18"/>
              </w:rPr>
              <w:t>.</w:t>
            </w:r>
          </w:p>
        </w:tc>
      </w:tr>
      <w:tr w:rsidR="00CD5946" w14:paraId="202A87FD"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20B1AC8B" w14:textId="77777777" w:rsidR="00CD5946" w:rsidRDefault="00000000">
            <w:pPr>
              <w:spacing w:after="0"/>
            </w:pPr>
            <w:r>
              <w:rPr>
                <w:rFonts w:ascii="Arial" w:eastAsia="Arial" w:hAnsi="Arial"/>
                <w:b/>
                <w:bCs/>
                <w:color w:val="15512F"/>
                <w:sz w:val="18"/>
                <w:szCs w:val="18"/>
              </w:rPr>
              <w:lastRenderedPageBreak/>
              <w:t>Purging / evacuation</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5B352071" w14:textId="77777777" w:rsidR="00CD5946" w:rsidRDefault="00000000">
            <w:pPr>
              <w:spacing w:after="0"/>
            </w:pPr>
            <w:r>
              <w:rPr>
                <w:rFonts w:ascii="Arial" w:eastAsia="Arial" w:hAnsi="Arial"/>
                <w:color w:val="1A1A1A"/>
                <w:sz w:val="18"/>
                <w:szCs w:val="18"/>
              </w:rPr>
              <w:t xml:space="preserve">Validated removal of residual gas/impurities from manifolds and cylinders before filling. / </w:t>
            </w:r>
            <w:r>
              <w:rPr>
                <w:rFonts w:ascii="Arial" w:eastAsia="Arial" w:hAnsi="Arial"/>
                <w:color w:val="1A1A1A"/>
                <w:sz w:val="18"/>
                <w:szCs w:val="18"/>
                <w:rtl/>
              </w:rPr>
              <w:t>إزالة مُتحقّقة للغاز المتبقّي قبل التعبئة</w:t>
            </w:r>
            <w:r>
              <w:rPr>
                <w:rFonts w:ascii="Arial" w:eastAsia="Arial" w:hAnsi="Arial"/>
                <w:color w:val="1A1A1A"/>
                <w:sz w:val="18"/>
                <w:szCs w:val="18"/>
              </w:rPr>
              <w:t>.</w:t>
            </w:r>
          </w:p>
        </w:tc>
      </w:tr>
    </w:tbl>
    <w:p w14:paraId="1AAFAED5" w14:textId="77777777" w:rsidR="00CD5946" w:rsidRDefault="00000000">
      <w:pPr>
        <w:spacing w:before="260" w:after="0"/>
        <w:jc w:val="center"/>
      </w:pPr>
      <w:r>
        <w:rPr>
          <w:noProof/>
        </w:rPr>
        <w:drawing>
          <wp:inline distT="0" distB="0" distL="0" distR="0" wp14:anchorId="1507F0C5" wp14:editId="6CAC6CB6">
            <wp:extent cx="876300" cy="1238250"/>
            <wp:effectExtent l="0" t="0" r="0" b="0"/>
            <wp:docPr id="10" name="Image9"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60D2E483" w14:textId="77777777" w:rsidR="00CD5946" w:rsidRDefault="00000000">
      <w:pPr>
        <w:spacing w:before="50" w:after="0"/>
        <w:jc w:val="center"/>
      </w:pPr>
      <w:r>
        <w:rPr>
          <w:rFonts w:ascii="Arial" w:eastAsia="Arial" w:hAnsi="Arial"/>
          <w:b/>
          <w:bCs/>
          <w:color w:val="15512F"/>
          <w:sz w:val="19"/>
          <w:szCs w:val="19"/>
        </w:rPr>
        <w:t>AUPAM EXPERTS' OFFICE</w:t>
      </w:r>
    </w:p>
    <w:p w14:paraId="15956C34"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2064CEF9" w14:textId="77777777" w:rsidR="00CD5946" w:rsidRDefault="00000000">
      <w:pPr>
        <w:spacing w:before="10" w:after="0"/>
        <w:jc w:val="center"/>
      </w:pPr>
      <w:r>
        <w:rPr>
          <w:rFonts w:ascii="Arial" w:eastAsia="Arial" w:hAnsi="Arial"/>
          <w:b/>
          <w:bCs/>
          <w:color w:val="B08C37"/>
          <w:sz w:val="24"/>
          <w:szCs w:val="24"/>
        </w:rPr>
        <w:t>2026 EDITION</w:t>
      </w:r>
    </w:p>
    <w:p w14:paraId="5664F641" w14:textId="77777777" w:rsidR="00CD5946" w:rsidRDefault="00000000">
      <w:pPr>
        <w:spacing w:before="260" w:after="0"/>
        <w:jc w:val="center"/>
      </w:pPr>
      <w:r>
        <w:rPr>
          <w:rFonts w:ascii="Arial" w:eastAsia="Arial" w:hAnsi="Arial"/>
          <w:b/>
          <w:bCs/>
          <w:color w:val="15512F"/>
          <w:sz w:val="54"/>
          <w:szCs w:val="54"/>
        </w:rPr>
        <w:t>ANNEX 7</w:t>
      </w:r>
    </w:p>
    <w:p w14:paraId="7A48069C" w14:textId="77777777" w:rsidR="00CD5946" w:rsidRDefault="00000000">
      <w:pPr>
        <w:spacing w:before="40" w:after="0"/>
        <w:jc w:val="center"/>
      </w:pPr>
      <w:r>
        <w:rPr>
          <w:rFonts w:ascii="Arial" w:eastAsia="Arial" w:hAnsi="Arial"/>
          <w:b/>
          <w:bCs/>
          <w:color w:val="1A1A1A"/>
          <w:sz w:val="28"/>
          <w:szCs w:val="28"/>
        </w:rPr>
        <w:t>Manufacture of Herbal Medicinal Products</w:t>
      </w:r>
    </w:p>
    <w:p w14:paraId="38327733" w14:textId="77777777" w:rsidR="00CD5946" w:rsidRDefault="00000000">
      <w:pPr>
        <w:spacing w:before="16" w:after="0"/>
        <w:jc w:val="center"/>
      </w:pPr>
      <w:r>
        <w:rPr>
          <w:rFonts w:ascii="Arial" w:eastAsia="Arial" w:hAnsi="Arial"/>
          <w:color w:val="5A5A5A"/>
          <w:sz w:val="22"/>
          <w:szCs w:val="22"/>
        </w:rPr>
        <w:t>GACP · contaminants · QC · EN | AR</w:t>
      </w:r>
    </w:p>
    <w:p w14:paraId="0313A1FE" w14:textId="77777777" w:rsidR="00CD5946" w:rsidRDefault="00000000">
      <w:pPr>
        <w:spacing w:before="26" w:after="0"/>
        <w:jc w:val="center"/>
      </w:pPr>
      <w:r>
        <w:rPr>
          <w:rFonts w:ascii="Arial" w:eastAsia="Arial" w:hAnsi="Arial"/>
          <w:b/>
          <w:bCs/>
          <w:color w:val="15512F"/>
          <w:sz w:val="22"/>
          <w:szCs w:val="22"/>
          <w:rtl/>
        </w:rPr>
        <w:t>الملحق ⁦</w:t>
      </w:r>
      <w:r>
        <w:rPr>
          <w:rFonts w:ascii="Arial" w:eastAsia="Arial" w:hAnsi="Arial"/>
          <w:b/>
          <w:bCs/>
          <w:color w:val="15512F"/>
          <w:sz w:val="22"/>
          <w:szCs w:val="22"/>
        </w:rPr>
        <w:t>7 —</w:t>
      </w:r>
      <w:r>
        <w:rPr>
          <w:rFonts w:ascii="Arial" w:eastAsia="Arial" w:hAnsi="Arial"/>
          <w:b/>
          <w:bCs/>
          <w:color w:val="15512F"/>
          <w:sz w:val="22"/>
          <w:szCs w:val="22"/>
          <w:rtl/>
        </w:rPr>
        <w:t>⁩ المنتجات الدوائية العشبية</w:t>
      </w:r>
    </w:p>
    <w:p w14:paraId="233A452C"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0D7C6FCC" w14:textId="77777777" w:rsidR="00CD5946" w:rsidRDefault="00000000">
      <w:r>
        <w:br w:type="page"/>
      </w:r>
    </w:p>
    <w:p w14:paraId="79D9A22C" w14:textId="77777777" w:rsidR="00CD5946" w:rsidRDefault="00000000">
      <w:pPr>
        <w:pStyle w:val="Heading1"/>
        <w:spacing w:before="0"/>
      </w:pPr>
      <w:bookmarkStart w:id="165" w:name="__RefHeading___Toc9487_1729075678"/>
      <w:bookmarkEnd w:id="165"/>
      <w:r>
        <w:lastRenderedPageBreak/>
        <w:t>Contents</w:t>
      </w:r>
    </w:p>
    <w:sdt>
      <w:sdtPr>
        <w:id w:val="-94179856"/>
        <w:docPartObj>
          <w:docPartGallery w:val="Table of Contents"/>
          <w:docPartUnique/>
        </w:docPartObj>
      </w:sdtPr>
      <w:sdtContent>
        <w:p w14:paraId="2D2F739D"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10730ACE"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2872403A"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4216BE2C"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7D8A744C"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439C9167"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6882F7C1"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03679111"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3734E682"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037BDEF3"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4224BBF6"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164BA23D"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6E9BB7C7"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66E64148"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2A6347E4"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3DC9BC69"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7F4DE607"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6A7E8B3C"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13B05DD5"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700C7078"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28439F5C"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45455853"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105A4212"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71A55ED0"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70334D31"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7B2545E9"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5FF7F840"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46FB8BC9"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3B2E845F"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02990F00"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44E12859"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0CD5C4C4"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7FEA42EE"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59169959"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5305D2F5"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217AE2DD"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025DF44F"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69721AC4"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5979C784"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2FE7FC87"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71CF9E42"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44F7344D"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5A9E3E38"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03C5D8CB"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581A8D2E"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0DA708B6"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5C05F047"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6ADFBC8A"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2450F7CA"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513ECB63"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710D67FC"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2A5B1247"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02D8FEA5"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59ADB30B"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77BA8230"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4921706F"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22E33C0D"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02837D84"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0972ECAD"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18EE5369"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0A02B436"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24C83461"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2F8E2446"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7B126802"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0C2CFD5E"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3500B8EB"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77C2EAEE"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0BBBAB51"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39A809D5"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7E8E0E30"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2AC3312A"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1D41D720"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01E6A951"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08FA2EDE" w14:textId="77777777" w:rsidR="00CD5946" w:rsidRDefault="00CD5946"/>
    <w:p w14:paraId="00E4B519" w14:textId="77777777" w:rsidR="00CD5946" w:rsidRDefault="00000000">
      <w:pPr>
        <w:pStyle w:val="Heading1"/>
      </w:pPr>
      <w:bookmarkStart w:id="166" w:name="__RefHeading___Toc9489_1729075678"/>
      <w:bookmarkEnd w:id="166"/>
      <w:r>
        <w:t xml:space="preserve">Annex 7 — Manufacture of Herbal Medicinal Products  ·  </w:t>
      </w:r>
      <w:r>
        <w:rPr>
          <w:rtl/>
        </w:rPr>
        <w:t xml:space="preserve">الملحق </w:t>
      </w:r>
      <w:r>
        <w:t>7</w:t>
      </w:r>
      <w:r>
        <w:rPr>
          <w:rtl/>
        </w:rPr>
        <w:t xml:space="preserve"> — تصنيع المنتجات الدوائية العشبية</w:t>
      </w:r>
    </w:p>
    <w:p w14:paraId="61043E43" w14:textId="77777777" w:rsidR="00CD5946" w:rsidRDefault="00000000">
      <w:pPr>
        <w:spacing w:before="10" w:after="150"/>
      </w:pPr>
      <w:r>
        <w:rPr>
          <w:rFonts w:ascii="Arial" w:eastAsia="Arial" w:hAnsi="Arial"/>
          <w:b/>
          <w:bCs/>
          <w:color w:val="C8A24B"/>
          <w:sz w:val="17"/>
          <w:szCs w:val="17"/>
        </w:rPr>
        <w:t xml:space="preserve">Harmonised with: </w:t>
      </w:r>
      <w:r>
        <w:rPr>
          <w:rFonts w:ascii="Arial" w:eastAsia="Arial" w:hAnsi="Arial"/>
          <w:i/>
          <w:iCs/>
          <w:color w:val="5A5A5A"/>
          <w:sz w:val="17"/>
          <w:szCs w:val="17"/>
        </w:rPr>
        <w:t>EU GMP Annex 7 · SFDA GMP Guide v4.4 · PIC/S PE 009-17 Annex 7 · WHO Good Agricultural and Collection Practices (GACP) · WHO GMP for herbal medicines · Ph.Eur. monographs and general chapters</w:t>
      </w:r>
    </w:p>
    <w:p w14:paraId="7AD57824" w14:textId="77777777" w:rsidR="00CD5946" w:rsidRDefault="00000000">
      <w:pPr>
        <w:pBdr>
          <w:left w:val="single" w:sz="16" w:space="8" w:color="C8A24B"/>
        </w:pBdr>
        <w:spacing w:after="40"/>
        <w:ind w:left="160"/>
      </w:pPr>
      <w:r>
        <w:rPr>
          <w:rFonts w:ascii="Arial" w:eastAsia="Arial" w:hAnsi="Arial"/>
          <w:b/>
          <w:bCs/>
          <w:color w:val="C8A24B"/>
        </w:rPr>
        <w:t xml:space="preserve">Principle.  </w:t>
      </w:r>
      <w:r>
        <w:rPr>
          <w:rFonts w:ascii="Arial" w:eastAsia="Arial" w:hAnsi="Arial"/>
          <w:color w:val="1A1A1A"/>
        </w:rPr>
        <w:t>Because of their often complex and variable nature, and the number and small quantity of defined active constituents, the control of starting materials, storage and processing assumes particular importance in the manufacture of herbal medicinal products. The starting material for a herbal medicinal product may be a medicinal plant, a herbal substance or a herbal preparation. The quality of the herbal substance and preparation, and of the finished product, depends on factors that cannot be fully controlled by final testing alone, so good agricultural and collection practice (GACP) up to the point of harvest, together with GMP thereafter, are essential.</w:t>
      </w:r>
    </w:p>
    <w:p w14:paraId="6A6EFFC0" w14:textId="77777777" w:rsidR="00CD5946" w:rsidRDefault="00000000">
      <w:pPr>
        <w:bidi/>
        <w:spacing w:after="150"/>
        <w:ind w:right="160"/>
        <w:jc w:val="right"/>
      </w:pPr>
      <w:r>
        <w:rPr>
          <w:rFonts w:ascii="Arial" w:eastAsia="Arial" w:hAnsi="Arial"/>
          <w:b/>
          <w:bCs/>
          <w:color w:val="C8A24B"/>
          <w:sz w:val="20"/>
          <w:szCs w:val="20"/>
          <w:rtl/>
        </w:rPr>
        <w:t xml:space="preserve">المبدأ. </w:t>
      </w:r>
      <w:r>
        <w:rPr>
          <w:rFonts w:ascii="Arial" w:eastAsia="Arial" w:hAnsi="Arial"/>
          <w:color w:val="333333"/>
          <w:sz w:val="20"/>
          <w:szCs w:val="20"/>
          <w:rtl/>
        </w:rPr>
        <w:t>بسبب طبيعتها المعقّدة والمتباينة غالباً، وتعدّد المكوّنات الفعّالة وقلّتها، يكتسب ضبط المواد الأولية والتخزين والمعالجة أهمية خاصة في تصنيع المنتجات العشبية. وقد تكون المادة الأولية نبتة طبية أو مادة عشبية أو مُستحضراً عشبيّاً. وتعتمد جودتها على عوامل لا يمكن ضبطها بالاختبار النهائي وحده؛ لذا تُعدّ الممارسات الزراعية والجمع الجيدة (</w:t>
      </w:r>
      <w:r>
        <w:rPr>
          <w:rFonts w:ascii="Arial" w:eastAsia="Arial" w:hAnsi="Arial"/>
          <w:color w:val="333333"/>
          <w:sz w:val="20"/>
          <w:szCs w:val="20"/>
        </w:rPr>
        <w:t>GACP</w:t>
      </w:r>
      <w:r>
        <w:rPr>
          <w:rFonts w:ascii="Arial" w:eastAsia="Arial" w:hAnsi="Arial"/>
          <w:color w:val="333333"/>
          <w:sz w:val="20"/>
          <w:szCs w:val="20"/>
          <w:rtl/>
        </w:rPr>
        <w:t xml:space="preserve">) حتّى الحصاد ثمّ </w:t>
      </w:r>
      <w:r>
        <w:rPr>
          <w:rFonts w:ascii="Arial" w:eastAsia="Arial" w:hAnsi="Arial"/>
          <w:color w:val="333333"/>
          <w:sz w:val="20"/>
          <w:szCs w:val="20"/>
        </w:rPr>
        <w:t>GMP</w:t>
      </w:r>
      <w:r>
        <w:rPr>
          <w:rFonts w:ascii="Arial" w:eastAsia="Arial" w:hAnsi="Arial"/>
          <w:color w:val="333333"/>
          <w:sz w:val="20"/>
          <w:szCs w:val="20"/>
          <w:rtl/>
        </w:rPr>
        <w:t xml:space="preserve"> بعده أموراً جوهرية.</w:t>
      </w:r>
    </w:p>
    <w:p w14:paraId="3F566090" w14:textId="77777777" w:rsidR="00CD5946" w:rsidRDefault="00000000">
      <w:pPr>
        <w:pBdr>
          <w:left w:val="single" w:sz="10" w:space="8" w:color="CFCFCF"/>
        </w:pBdr>
        <w:spacing w:before="60" w:after="30"/>
        <w:ind w:left="160"/>
      </w:pPr>
      <w:r>
        <w:rPr>
          <w:rFonts w:ascii="Arial" w:eastAsia="Arial" w:hAnsi="Arial"/>
          <w:b/>
          <w:bCs/>
          <w:color w:val="15512F"/>
          <w:sz w:val="20"/>
          <w:szCs w:val="20"/>
        </w:rPr>
        <w:t xml:space="preserve">Scope.  </w:t>
      </w:r>
      <w:r>
        <w:rPr>
          <w:rFonts w:ascii="Arial" w:eastAsia="Arial" w:hAnsi="Arial"/>
          <w:color w:val="1A1A1A"/>
          <w:sz w:val="20"/>
          <w:szCs w:val="20"/>
        </w:rPr>
        <w:t>This Annex applies to the manufacture of herbal medicinal products, covering the steps from the controlled growing or collection of the medicinal plant, through harvesting and primary processing, to the herbal substance, the herbal preparation and the finished product. GACP applies to the agricultural/collection steps; GMP applies from the point at which the herbal substance or preparation enters the manufacturing site.</w:t>
      </w:r>
    </w:p>
    <w:p w14:paraId="6FC338CB" w14:textId="77777777" w:rsidR="00CD5946" w:rsidRDefault="00000000">
      <w:pPr>
        <w:bidi/>
        <w:spacing w:after="150"/>
        <w:ind w:right="160"/>
        <w:jc w:val="right"/>
      </w:pPr>
      <w:r>
        <w:rPr>
          <w:rFonts w:ascii="Arial" w:eastAsia="Arial" w:hAnsi="Arial"/>
          <w:b/>
          <w:bCs/>
          <w:color w:val="15512F"/>
          <w:sz w:val="20"/>
          <w:szCs w:val="20"/>
          <w:rtl/>
        </w:rPr>
        <w:t xml:space="preserve">النطاق. </w:t>
      </w:r>
      <w:r>
        <w:rPr>
          <w:rFonts w:ascii="Arial" w:eastAsia="Arial" w:hAnsi="Arial"/>
          <w:color w:val="333333"/>
          <w:sz w:val="20"/>
          <w:szCs w:val="20"/>
          <w:rtl/>
        </w:rPr>
        <w:t xml:space="preserve">ينطبق هذا الملحق على تصنيع المنتجات العشبية، من الزراعة أو الجمع المضبوط للنبتة، مروراً بالحصاد والمعالجة الأولية، إلى المادة العشبية والمستحضر والمنتج النهائي. تنطبق </w:t>
      </w:r>
      <w:r>
        <w:rPr>
          <w:rFonts w:ascii="Arial" w:eastAsia="Arial" w:hAnsi="Arial"/>
          <w:color w:val="333333"/>
          <w:sz w:val="20"/>
          <w:szCs w:val="20"/>
        </w:rPr>
        <w:t>GACP</w:t>
      </w:r>
      <w:r>
        <w:rPr>
          <w:rFonts w:ascii="Arial" w:eastAsia="Arial" w:hAnsi="Arial"/>
          <w:color w:val="333333"/>
          <w:sz w:val="20"/>
          <w:szCs w:val="20"/>
          <w:rtl/>
        </w:rPr>
        <w:t xml:space="preserve"> على خطوات الزراعة/الجمع، وتنطبق </w:t>
      </w:r>
      <w:r>
        <w:rPr>
          <w:rFonts w:ascii="Arial" w:eastAsia="Arial" w:hAnsi="Arial"/>
          <w:color w:val="333333"/>
          <w:sz w:val="20"/>
          <w:szCs w:val="20"/>
        </w:rPr>
        <w:t>GMP</w:t>
      </w:r>
      <w:r>
        <w:rPr>
          <w:rFonts w:ascii="Arial" w:eastAsia="Arial" w:hAnsi="Arial"/>
          <w:color w:val="333333"/>
          <w:sz w:val="20"/>
          <w:szCs w:val="20"/>
          <w:rtl/>
        </w:rPr>
        <w:t xml:space="preserve"> من دخول المادة العشبية إلى الموقع.</w:t>
      </w:r>
    </w:p>
    <w:p w14:paraId="2F66C4B3" w14:textId="77777777" w:rsidR="00CD5946" w:rsidRDefault="00000000">
      <w:pPr>
        <w:pStyle w:val="Heading2"/>
        <w:spacing w:before="220"/>
      </w:pPr>
      <w:bookmarkStart w:id="167" w:name="__RefHeading___Toc9491_1729075678"/>
      <w:bookmarkEnd w:id="167"/>
      <w:r>
        <w:t>1.  Premises and storage</w:t>
      </w:r>
      <w:r>
        <w:rPr>
          <w:b w:val="0"/>
          <w:bCs w:val="0"/>
          <w:color w:val="1A1A1A"/>
          <w:sz w:val="21"/>
          <w:szCs w:val="21"/>
        </w:rPr>
        <w:t xml:space="preserve">   </w:t>
      </w:r>
      <w:r>
        <w:rPr>
          <w:color w:val="C8A24B"/>
          <w:sz w:val="20"/>
          <w:szCs w:val="20"/>
          <w:rtl/>
        </w:rPr>
        <w:t>المباني والتخزين</w:t>
      </w:r>
    </w:p>
    <w:p w14:paraId="1494D1BC" w14:textId="77777777" w:rsidR="00CD5946" w:rsidRDefault="00000000">
      <w:pPr>
        <w:spacing w:after="40" w:line="266" w:lineRule="auto"/>
        <w:ind w:left="300" w:hanging="300"/>
      </w:pPr>
      <w:r>
        <w:rPr>
          <w:rFonts w:ascii="Arial" w:eastAsia="Arial" w:hAnsi="Arial"/>
          <w:b/>
          <w:bCs/>
          <w:color w:val="15512F"/>
        </w:rPr>
        <w:t xml:space="preserve">7.1  </w:t>
      </w:r>
      <w:r>
        <w:rPr>
          <w:rFonts w:ascii="Arial" w:eastAsia="Arial" w:hAnsi="Arial"/>
          <w:color w:val="1A1A1A"/>
        </w:rPr>
        <w:t xml:space="preserve">Herbal substances shall be stored in separate areas designed to give protection from moisture, light, pests, microbial contamination and cross-contamination, and to maintain the specified </w:t>
        <w:lastRenderedPageBreak/>
        <w:t>storage conditions. Conditions shall be defined and monitored; clean and dirty operations (for example incoming unprocessed material versus processed substance) shall be appropriately segregated. Where dust is generated during sampling, processing or milling, special provisions shall prevent cross-contamination and facilitate cleaning.</w:t>
      </w:r>
    </w:p>
    <w:p w14:paraId="2C3ED072" w14:textId="77777777" w:rsidR="00CD5946" w:rsidRDefault="00000000">
      <w:pPr>
        <w:bidi/>
        <w:spacing w:after="150" w:line="300" w:lineRule="auto"/>
        <w:ind w:right="300" w:hanging="300"/>
        <w:jc w:val="right"/>
      </w:pPr>
      <w:r>
        <w:rPr>
          <w:rFonts w:ascii="Arial" w:eastAsia="Arial" w:hAnsi="Arial"/>
          <w:color w:val="333333"/>
          <w:sz w:val="20"/>
          <w:szCs w:val="20"/>
          <w:rtl/>
        </w:rPr>
        <w:t>تُخزّن المواد العشبية في مناطق منفصلة تحميها من الرطوبة والضوء والآفات والتلوث الميكروبي والمتبادل، وتحفظ ظروف التخزين المحدّدة، وتُراقَب. وتُفصَل العمليات النظيفة عن غير النظيفة. وحيث يتولّد الغبار أثناء أخذ العينات أو المعالجة أو الطحن تُتّخذ تدابير خاصة لمنع التلوث المتبادل وتيسير التنظيف.</w:t>
      </w:r>
      <w:r>
        <w:rPr>
          <w:rFonts w:ascii="Arial" w:eastAsia="Arial" w:hAnsi="Arial"/>
          <w:b/>
          <w:bCs/>
          <w:color w:val="15512F"/>
          <w:sz w:val="20"/>
          <w:szCs w:val="20"/>
          <w:rtl/>
        </w:rPr>
        <w:t xml:space="preserve">  ⁦</w:t>
      </w:r>
      <w:r>
        <w:rPr>
          <w:rFonts w:ascii="Arial" w:eastAsia="Arial" w:hAnsi="Arial"/>
          <w:b/>
          <w:bCs/>
          <w:color w:val="15512F"/>
          <w:sz w:val="20"/>
          <w:szCs w:val="20"/>
        </w:rPr>
        <w:t>7.1</w:t>
      </w:r>
      <w:r>
        <w:rPr>
          <w:rFonts w:ascii="Arial" w:eastAsia="Arial" w:hAnsi="Arial"/>
          <w:b/>
          <w:bCs/>
          <w:color w:val="15512F"/>
          <w:sz w:val="20"/>
          <w:szCs w:val="20"/>
          <w:rtl/>
        </w:rPr>
        <w:t>⁩</w:t>
      </w:r>
    </w:p>
    <w:p w14:paraId="00CF7345" w14:textId="77777777" w:rsidR="00CD5946" w:rsidRDefault="00000000">
      <w:pPr>
        <w:pStyle w:val="Heading2"/>
        <w:spacing w:before="220"/>
      </w:pPr>
      <w:bookmarkStart w:id="168" w:name="__RefHeading___Toc9493_1729075678"/>
      <w:bookmarkEnd w:id="168"/>
      <w:r>
        <w:t>2.  Documentation and starting materials</w:t>
      </w:r>
      <w:r>
        <w:rPr>
          <w:b w:val="0"/>
          <w:bCs w:val="0"/>
          <w:color w:val="1A1A1A"/>
          <w:sz w:val="21"/>
          <w:szCs w:val="21"/>
        </w:rPr>
        <w:t xml:space="preserve">   </w:t>
      </w:r>
      <w:r>
        <w:rPr>
          <w:color w:val="C8A24B"/>
          <w:sz w:val="20"/>
          <w:szCs w:val="20"/>
          <w:rtl/>
        </w:rPr>
        <w:t>التوثيق والمواد الأولية</w:t>
      </w:r>
    </w:p>
    <w:p w14:paraId="3185C6FA" w14:textId="77777777" w:rsidR="00CD5946" w:rsidRDefault="00000000">
      <w:pPr>
        <w:spacing w:after="40" w:line="266" w:lineRule="auto"/>
        <w:ind w:left="300" w:hanging="300"/>
      </w:pPr>
      <w:r>
        <w:rPr>
          <w:rFonts w:ascii="Arial" w:eastAsia="Arial" w:hAnsi="Arial"/>
          <w:b/>
          <w:bCs/>
          <w:color w:val="15512F"/>
        </w:rPr>
        <w:t xml:space="preserve">7.2  </w:t>
      </w:r>
      <w:r>
        <w:rPr>
          <w:rFonts w:ascii="Arial" w:eastAsia="Arial" w:hAnsi="Arial"/>
          <w:color w:val="1A1A1A"/>
        </w:rPr>
        <w:t>The starting-material specifications shall ensure full traceability and shall include, as applicable: the binomial scientific name of the plant (genus, species, variety/cultivar and author); details of the source (country/region of origin, cultivation or wild collection, harvest time, collection conditions, any pesticides used); and the plant part used. The processing treatment (for example drying, milling, sieving) and any subsequent steps shall be recorded so that the herbal substance/preparation is fully defined.</w:t>
      </w:r>
    </w:p>
    <w:p w14:paraId="742F4567" w14:textId="77777777" w:rsidR="00CD5946" w:rsidRDefault="00000000">
      <w:pPr>
        <w:bidi/>
        <w:spacing w:after="150" w:line="300" w:lineRule="auto"/>
        <w:ind w:right="300" w:hanging="300"/>
        <w:jc w:val="right"/>
      </w:pPr>
      <w:r>
        <w:rPr>
          <w:rFonts w:ascii="Arial" w:eastAsia="Arial" w:hAnsi="Arial"/>
          <w:color w:val="333333"/>
          <w:sz w:val="20"/>
          <w:szCs w:val="20"/>
          <w:rtl/>
        </w:rPr>
        <w:t>تضمن مواصفات المواد الأولية التتبّع الكامل وتشمل: الاسم العلمي الثنائي للنبتة (الجنس والنوع والصنف والمؤلّف)؛ وتفاصيل المصدر (بلد/إقليم المنشأ، زراعة أم جمع برّي، وقت الحصاد، أيّ مبيدات)؛ وجزء النبتة المستخدم. وتُسجّل المعالجة (التجفيف والطحن والغربلة) والخطوات اللاحقة لتعريف المادة/المستحضر تعريفاً كاملاً.</w:t>
      </w:r>
      <w:r>
        <w:rPr>
          <w:rFonts w:ascii="Arial" w:eastAsia="Arial" w:hAnsi="Arial"/>
          <w:b/>
          <w:bCs/>
          <w:color w:val="15512F"/>
          <w:sz w:val="20"/>
          <w:szCs w:val="20"/>
          <w:rtl/>
        </w:rPr>
        <w:t xml:space="preserve">  ⁦</w:t>
      </w:r>
      <w:r>
        <w:rPr>
          <w:rFonts w:ascii="Arial" w:eastAsia="Arial" w:hAnsi="Arial"/>
          <w:b/>
          <w:bCs/>
          <w:color w:val="15512F"/>
          <w:sz w:val="20"/>
          <w:szCs w:val="20"/>
        </w:rPr>
        <w:t>7.2</w:t>
      </w:r>
      <w:r>
        <w:rPr>
          <w:rFonts w:ascii="Arial" w:eastAsia="Arial" w:hAnsi="Arial"/>
          <w:b/>
          <w:bCs/>
          <w:color w:val="15512F"/>
          <w:sz w:val="20"/>
          <w:szCs w:val="20"/>
          <w:rtl/>
        </w:rPr>
        <w:t>⁩</w:t>
      </w:r>
    </w:p>
    <w:p w14:paraId="54866AED" w14:textId="77777777" w:rsidR="00CD5946" w:rsidRDefault="00000000">
      <w:pPr>
        <w:pStyle w:val="Heading2"/>
        <w:spacing w:before="220"/>
      </w:pPr>
      <w:bookmarkStart w:id="169" w:name="__RefHeading___Toc9495_1729075678"/>
      <w:bookmarkEnd w:id="169"/>
      <w:r>
        <w:t>3.  Quality control and contaminants</w:t>
      </w:r>
      <w:r>
        <w:rPr>
          <w:b w:val="0"/>
          <w:bCs w:val="0"/>
          <w:color w:val="1A1A1A"/>
          <w:sz w:val="21"/>
          <w:szCs w:val="21"/>
        </w:rPr>
        <w:t xml:space="preserve">   </w:t>
      </w:r>
      <w:r>
        <w:rPr>
          <w:color w:val="C8A24B"/>
          <w:sz w:val="20"/>
          <w:szCs w:val="20"/>
          <w:rtl/>
        </w:rPr>
        <w:t>مراقبة الجودة والملوّثات</w:t>
      </w:r>
    </w:p>
    <w:p w14:paraId="43C0FAE9" w14:textId="77777777" w:rsidR="00CD5946" w:rsidRDefault="00000000">
      <w:pPr>
        <w:spacing w:after="40" w:line="266" w:lineRule="auto"/>
        <w:ind w:left="300" w:hanging="300"/>
      </w:pPr>
      <w:r>
        <w:rPr>
          <w:rFonts w:ascii="Arial" w:eastAsia="Arial" w:hAnsi="Arial"/>
          <w:b/>
          <w:bCs/>
          <w:color w:val="15512F"/>
        </w:rPr>
        <w:t xml:space="preserve">7.3  </w:t>
      </w:r>
      <w:r>
        <w:rPr>
          <w:rFonts w:ascii="Arial" w:eastAsia="Arial" w:hAnsi="Arial"/>
          <w:color w:val="1A1A1A"/>
        </w:rPr>
        <w:t>Identity, quality and purity shall be established by botanical (macroscopic and microscopic) and analytical means, including the relevant assay or marker determination. Testing for contaminants shall be performed and controlled to limits derived from the pharmacopoeia and risk assessment, including: residual pesticides; toxic heavy metals (for example lead, cadmium, mercury, arsenic); mycotoxins (notably aflatoxins and, where relevant, ochratoxin A); microbial quality (total counts and absence of specified pathogens); and, where used, residual fumigants or radiation treatment.</w:t>
      </w:r>
    </w:p>
    <w:p w14:paraId="5D669D4D"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تُثبت الهوية والجودة والنقاء بوسائل نباتية (عيانية ومجهرية) وتحليلية تشمل المعايرة أو تحديد الواسم. وتُجرى اختبارات الملوّثات وتُضبط إلى حدود من الدستور وتقييم المخاطر، وتشمل: بقايا المبيدات؛ والمعادن الثقيلة السامّة (الرصاص والكادميوم والزئبق والزرنيخ)؛ والسموم الفطرية (الأفلاتوكسينات والأوكراتوكسين </w:t>
      </w:r>
      <w:r>
        <w:rPr>
          <w:rFonts w:ascii="Arial" w:eastAsia="Arial" w:hAnsi="Arial"/>
          <w:color w:val="333333"/>
          <w:sz w:val="20"/>
          <w:szCs w:val="20"/>
        </w:rPr>
        <w:t>A</w:t>
      </w:r>
      <w:r>
        <w:rPr>
          <w:rFonts w:ascii="Arial" w:eastAsia="Arial" w:hAnsi="Arial"/>
          <w:color w:val="333333"/>
          <w:sz w:val="20"/>
          <w:szCs w:val="20"/>
          <w:rtl/>
        </w:rPr>
        <w:t>)؛ والجودة الميكروبية؛ وبقايا التبخير أو الإشعاع عند استخدامها.</w:t>
      </w:r>
      <w:r>
        <w:rPr>
          <w:rFonts w:ascii="Arial" w:eastAsia="Arial" w:hAnsi="Arial"/>
          <w:b/>
          <w:bCs/>
          <w:color w:val="15512F"/>
          <w:sz w:val="20"/>
          <w:szCs w:val="20"/>
          <w:rtl/>
        </w:rPr>
        <w:t xml:space="preserve">  ⁦</w:t>
      </w:r>
      <w:r>
        <w:rPr>
          <w:rFonts w:ascii="Arial" w:eastAsia="Arial" w:hAnsi="Arial"/>
          <w:b/>
          <w:bCs/>
          <w:color w:val="15512F"/>
          <w:sz w:val="20"/>
          <w:szCs w:val="20"/>
        </w:rPr>
        <w:t>7.3</w:t>
      </w:r>
      <w:r>
        <w:rPr>
          <w:rFonts w:ascii="Arial" w:eastAsia="Arial" w:hAnsi="Arial"/>
          <w:b/>
          <w:bCs/>
          <w:color w:val="15512F"/>
          <w:sz w:val="20"/>
          <w:szCs w:val="20"/>
          <w:rtl/>
        </w:rPr>
        <w:t>⁩</w:t>
      </w:r>
    </w:p>
    <w:p w14:paraId="44AD78F3" w14:textId="77777777" w:rsidR="00CD5946" w:rsidRDefault="00000000">
      <w:pPr>
        <w:pBdr>
          <w:left w:val="single" w:sz="6" w:space="8" w:color="CFCFCF"/>
        </w:pBd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Because the herbal substance is itself the active (or the source of the active), a representative reference sample of the botanical material should be retained to permit future authentication, and the consistency of the active markers across batches should be trended — final-product testing alone cannot assure the identity and quality of a botanically complex material.</w:t>
      </w:r>
    </w:p>
    <w:p w14:paraId="4E05E448" w14:textId="77777777" w:rsidR="00CD5946" w:rsidRDefault="00000000">
      <w:pPr>
        <w:bidi/>
        <w:spacing w:after="140"/>
        <w:ind w:right="300"/>
        <w:jc w:val="right"/>
      </w:pPr>
      <w:r>
        <w:rPr>
          <w:rFonts w:ascii="Arial" w:eastAsia="Arial" w:hAnsi="Arial"/>
          <w:color w:val="5A5A5A"/>
          <w:sz w:val="18"/>
          <w:szCs w:val="18"/>
          <w:rtl/>
        </w:rPr>
        <w:t>لأنّ المادة العشبية هي الفعّال نفسه (أو مصدره)، يُستبقى عينة مرجعية ممثّلة للمادة النباتية لإتاحة التوثيق اللاحق، ويُتابع اتساق الواسمات الفعّالة عبر الدفعات؛ فاختبار المنتج النهائي وحده لا يضمن هوية وجودة مادة نباتية معقّدة.</w:t>
      </w:r>
      <w:r>
        <w:rPr>
          <w:rFonts w:ascii="Arial" w:eastAsia="Arial" w:hAnsi="Arial"/>
          <w:b/>
          <w:bCs/>
          <w:color w:val="5A5A5A"/>
          <w:sz w:val="18"/>
          <w:szCs w:val="18"/>
          <w:rtl/>
        </w:rPr>
        <w:t xml:space="preserve">  ملاحظة.</w:t>
      </w:r>
    </w:p>
    <w:p w14:paraId="53138E79" w14:textId="77777777" w:rsidR="00CD5946" w:rsidRDefault="00000000">
      <w:pPr>
        <w:pStyle w:val="Heading2"/>
        <w:spacing w:before="220"/>
      </w:pPr>
      <w:bookmarkStart w:id="170" w:name="__RefHeading___Toc9497_1729075678"/>
      <w:bookmarkEnd w:id="170"/>
      <w:r>
        <w:t>4.  Glossary (Annex 7)</w:t>
      </w:r>
      <w:r>
        <w:rPr>
          <w:b w:val="0"/>
          <w:bCs w:val="0"/>
          <w:color w:val="1A1A1A"/>
          <w:sz w:val="21"/>
          <w:szCs w:val="21"/>
        </w:rPr>
        <w:t xml:space="preserve">   </w:t>
      </w:r>
      <w:r>
        <w:rPr>
          <w:color w:val="C8A24B"/>
          <w:sz w:val="20"/>
          <w:szCs w:val="20"/>
          <w:rtl/>
        </w:rPr>
        <w:t>مسرد الملحق</w:t>
      </w:r>
      <w:r>
        <w:rPr>
          <w:color w:val="C8A24B"/>
          <w:sz w:val="20"/>
          <w:szCs w:val="20"/>
        </w:rPr>
        <w:t xml:space="preserve"> ⁦7⁩</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700"/>
        <w:gridCol w:w="6660"/>
      </w:tblGrid>
      <w:tr w:rsidR="00CD5946" w14:paraId="63E8C869" w14:textId="77777777">
        <w:trPr>
          <w:tblHeader/>
        </w:trPr>
        <w:tc>
          <w:tcPr>
            <w:tcW w:w="2700" w:type="dxa"/>
            <w:tcBorders>
              <w:top w:val="single" w:sz="2" w:space="0" w:color="BFC9C0"/>
              <w:left w:val="single" w:sz="2" w:space="0" w:color="BFC9C0"/>
              <w:bottom w:val="single" w:sz="2" w:space="0" w:color="BFC9C0"/>
              <w:right w:val="single" w:sz="2" w:space="0" w:color="BFC9C0"/>
            </w:tcBorders>
            <w:shd w:val="clear" w:color="auto" w:fill="0E5A50"/>
          </w:tcPr>
          <w:p w14:paraId="304D9C83" w14:textId="77777777" w:rsidR="00CD5946" w:rsidRDefault="00000000">
            <w:pPr>
              <w:spacing w:after="0"/>
            </w:pPr>
            <w:r>
              <w:rPr>
                <w:rFonts w:ascii="Arial" w:eastAsia="Arial" w:hAnsi="Arial"/>
                <w:b/>
                <w:bCs/>
                <w:color w:val="FFFFFF"/>
                <w:sz w:val="18"/>
                <w:szCs w:val="18"/>
              </w:rPr>
              <w:t xml:space="preserve">Term / </w:t>
            </w:r>
            <w:r>
              <w:rPr>
                <w:rFonts w:ascii="Arial" w:eastAsia="Arial" w:hAnsi="Arial"/>
                <w:b/>
                <w:bCs/>
                <w:color w:val="FFFFFF"/>
                <w:sz w:val="18"/>
                <w:szCs w:val="18"/>
                <w:rtl/>
              </w:rPr>
              <w:t>المصطلح</w:t>
            </w:r>
          </w:p>
        </w:tc>
        <w:tc>
          <w:tcPr>
            <w:tcW w:w="6660" w:type="dxa"/>
            <w:tcBorders>
              <w:top w:val="single" w:sz="2" w:space="0" w:color="BFC9C0"/>
              <w:left w:val="single" w:sz="2" w:space="0" w:color="BFC9C0"/>
              <w:bottom w:val="single" w:sz="2" w:space="0" w:color="BFC9C0"/>
              <w:right w:val="single" w:sz="2" w:space="0" w:color="BFC9C0"/>
            </w:tcBorders>
            <w:shd w:val="clear" w:color="auto" w:fill="0E5A50"/>
          </w:tcPr>
          <w:p w14:paraId="2C7A1E4A" w14:textId="77777777" w:rsidR="00CD5946" w:rsidRDefault="00000000">
            <w:pPr>
              <w:spacing w:after="0"/>
            </w:pPr>
            <w:r>
              <w:rPr>
                <w:rFonts w:ascii="Arial" w:eastAsia="Arial" w:hAnsi="Arial"/>
                <w:b/>
                <w:bCs/>
                <w:color w:val="FFFFFF"/>
                <w:sz w:val="18"/>
                <w:szCs w:val="18"/>
              </w:rPr>
              <w:t xml:space="preserve">Definition / </w:t>
            </w:r>
            <w:r>
              <w:rPr>
                <w:rFonts w:ascii="Arial" w:eastAsia="Arial" w:hAnsi="Arial"/>
                <w:b/>
                <w:bCs/>
                <w:color w:val="FFFFFF"/>
                <w:sz w:val="18"/>
                <w:szCs w:val="18"/>
                <w:rtl/>
              </w:rPr>
              <w:t>التعريف</w:t>
            </w:r>
          </w:p>
        </w:tc>
      </w:tr>
      <w:tr w:rsidR="00CD5946" w14:paraId="62051EA2"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745D4194" w14:textId="77777777" w:rsidR="00CD5946" w:rsidRDefault="00000000">
            <w:pPr>
              <w:spacing w:after="0"/>
            </w:pPr>
            <w:r>
              <w:rPr>
                <w:rFonts w:ascii="Arial" w:eastAsia="Arial" w:hAnsi="Arial"/>
                <w:b/>
                <w:bCs/>
                <w:color w:val="15512F"/>
                <w:sz w:val="18"/>
                <w:szCs w:val="18"/>
              </w:rPr>
              <w:t>Herbal substance</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38A9B803" w14:textId="77777777" w:rsidR="00CD5946" w:rsidRDefault="00000000">
            <w:pPr>
              <w:spacing w:after="0"/>
            </w:pPr>
            <w:r>
              <w:rPr>
                <w:rFonts w:ascii="Arial" w:eastAsia="Arial" w:hAnsi="Arial"/>
                <w:color w:val="1A1A1A"/>
                <w:sz w:val="18"/>
                <w:szCs w:val="18"/>
              </w:rPr>
              <w:t xml:space="preserve">Whole, fragmented or cut plants, plant parts, algae, fungi or lichen in an unprocessed (usually dried) state. / </w:t>
            </w:r>
            <w:r>
              <w:rPr>
                <w:rFonts w:ascii="Arial" w:eastAsia="Arial" w:hAnsi="Arial"/>
                <w:color w:val="1A1A1A"/>
                <w:sz w:val="18"/>
                <w:szCs w:val="18"/>
                <w:rtl/>
              </w:rPr>
              <w:t>النباتات أو أجزاؤها في حالة غير مُعالَجة (مجفّفة عادةً)</w:t>
            </w:r>
            <w:r>
              <w:rPr>
                <w:rFonts w:ascii="Arial" w:eastAsia="Arial" w:hAnsi="Arial"/>
                <w:color w:val="1A1A1A"/>
                <w:sz w:val="18"/>
                <w:szCs w:val="18"/>
              </w:rPr>
              <w:t>.</w:t>
            </w:r>
          </w:p>
        </w:tc>
      </w:tr>
      <w:tr w:rsidR="00CD5946" w14:paraId="4840934A"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79751AFE" w14:textId="77777777" w:rsidR="00CD5946" w:rsidRDefault="00000000">
            <w:pPr>
              <w:spacing w:after="0"/>
            </w:pPr>
            <w:r>
              <w:rPr>
                <w:rFonts w:ascii="Arial" w:eastAsia="Arial" w:hAnsi="Arial"/>
                <w:b/>
                <w:bCs/>
                <w:color w:val="15512F"/>
                <w:sz w:val="18"/>
                <w:szCs w:val="18"/>
              </w:rPr>
              <w:t>Herbal preparation</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1C9982EE" w14:textId="77777777" w:rsidR="00CD5946" w:rsidRDefault="00000000">
            <w:pPr>
              <w:spacing w:after="0"/>
            </w:pPr>
            <w:r>
              <w:rPr>
                <w:rFonts w:ascii="Arial" w:eastAsia="Arial" w:hAnsi="Arial"/>
                <w:color w:val="1A1A1A"/>
                <w:sz w:val="18"/>
                <w:szCs w:val="18"/>
              </w:rPr>
              <w:t xml:space="preserve">A preparation obtained by treating herbal substances (extraction, distillation, expression, fractionation, concentration, etc.). / </w:t>
            </w:r>
            <w:r>
              <w:rPr>
                <w:rFonts w:ascii="Arial" w:eastAsia="Arial" w:hAnsi="Arial"/>
                <w:color w:val="1A1A1A"/>
                <w:sz w:val="18"/>
                <w:szCs w:val="18"/>
                <w:rtl/>
              </w:rPr>
              <w:t>مستحضر يُعدّ بمعالجة المواد العشبية</w:t>
            </w:r>
            <w:r>
              <w:rPr>
                <w:rFonts w:ascii="Arial" w:eastAsia="Arial" w:hAnsi="Arial"/>
                <w:color w:val="1A1A1A"/>
                <w:sz w:val="18"/>
                <w:szCs w:val="18"/>
              </w:rPr>
              <w:t>.</w:t>
            </w:r>
          </w:p>
        </w:tc>
      </w:tr>
      <w:tr w:rsidR="00CD5946" w14:paraId="647846CA"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705F6BE0" w14:textId="77777777" w:rsidR="00CD5946" w:rsidRDefault="00000000">
            <w:pPr>
              <w:spacing w:after="0"/>
            </w:pPr>
            <w:r>
              <w:rPr>
                <w:rFonts w:ascii="Arial" w:eastAsia="Arial" w:hAnsi="Arial"/>
                <w:b/>
                <w:bCs/>
                <w:color w:val="15512F"/>
                <w:sz w:val="18"/>
                <w:szCs w:val="18"/>
              </w:rPr>
              <w:t>GACP</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17BA6318" w14:textId="77777777" w:rsidR="00CD5946" w:rsidRDefault="00000000">
            <w:pPr>
              <w:spacing w:after="0"/>
            </w:pPr>
            <w:r>
              <w:rPr>
                <w:rFonts w:ascii="Arial" w:eastAsia="Arial" w:hAnsi="Arial"/>
                <w:color w:val="1A1A1A"/>
                <w:sz w:val="18"/>
                <w:szCs w:val="18"/>
              </w:rPr>
              <w:t xml:space="preserve">Good Agricultural and Collection Practice for the growing/collection of medicinal plants up to harvest. / </w:t>
            </w:r>
            <w:r>
              <w:rPr>
                <w:rFonts w:ascii="Arial" w:eastAsia="Arial" w:hAnsi="Arial"/>
                <w:color w:val="1A1A1A"/>
                <w:sz w:val="18"/>
                <w:szCs w:val="18"/>
                <w:rtl/>
              </w:rPr>
              <w:t>الممارسات الزراعية والجمع الجيدة</w:t>
            </w:r>
            <w:r>
              <w:rPr>
                <w:rFonts w:ascii="Arial" w:eastAsia="Arial" w:hAnsi="Arial"/>
                <w:color w:val="1A1A1A"/>
                <w:sz w:val="18"/>
                <w:szCs w:val="18"/>
              </w:rPr>
              <w:t>.</w:t>
            </w:r>
          </w:p>
        </w:tc>
      </w:tr>
      <w:tr w:rsidR="00CD5946" w14:paraId="198AA563"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7540A0A0" w14:textId="77777777" w:rsidR="00CD5946" w:rsidRDefault="00000000">
            <w:pPr>
              <w:spacing w:after="0"/>
            </w:pPr>
            <w:r>
              <w:rPr>
                <w:rFonts w:ascii="Arial" w:eastAsia="Arial" w:hAnsi="Arial"/>
                <w:b/>
                <w:bCs/>
                <w:color w:val="15512F"/>
                <w:sz w:val="18"/>
                <w:szCs w:val="18"/>
              </w:rPr>
              <w:t>Marker</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4B5F13E2" w14:textId="77777777" w:rsidR="00CD5946" w:rsidRDefault="00000000">
            <w:pPr>
              <w:spacing w:after="0"/>
            </w:pPr>
            <w:r>
              <w:rPr>
                <w:rFonts w:ascii="Arial" w:eastAsia="Arial" w:hAnsi="Arial"/>
                <w:color w:val="1A1A1A"/>
                <w:sz w:val="18"/>
                <w:szCs w:val="18"/>
              </w:rPr>
              <w:t xml:space="preserve">A constituent or group used for control purposes, whether or not it has therapeutic activity. / </w:t>
            </w:r>
            <w:r>
              <w:rPr>
                <w:rFonts w:ascii="Arial" w:eastAsia="Arial" w:hAnsi="Arial"/>
                <w:color w:val="1A1A1A"/>
                <w:sz w:val="18"/>
                <w:szCs w:val="18"/>
                <w:rtl/>
              </w:rPr>
              <w:t>مكوّن يُستخدم للضبط</w:t>
            </w:r>
            <w:r>
              <w:rPr>
                <w:rFonts w:ascii="Arial" w:eastAsia="Arial" w:hAnsi="Arial"/>
                <w:color w:val="1A1A1A"/>
                <w:sz w:val="18"/>
                <w:szCs w:val="18"/>
              </w:rPr>
              <w:t>.</w:t>
            </w:r>
          </w:p>
        </w:tc>
      </w:tr>
    </w:tbl>
    <w:p w14:paraId="76F78A19" w14:textId="77777777" w:rsidR="00CD5946" w:rsidRDefault="00000000">
      <w:pPr>
        <w:spacing w:before="260" w:after="0"/>
        <w:jc w:val="center"/>
      </w:pPr>
      <w:r>
        <w:rPr>
          <w:noProof/>
        </w:rPr>
        <w:lastRenderedPageBreak/>
        <w:drawing>
          <wp:inline distT="0" distB="0" distL="0" distR="0" wp14:anchorId="2DD37655" wp14:editId="246F6A3B">
            <wp:extent cx="876300" cy="1238250"/>
            <wp:effectExtent l="0" t="0" r="0" b="0"/>
            <wp:docPr id="11" name="Image10"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0"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1179D7B2" w14:textId="77777777" w:rsidR="00CD5946" w:rsidRDefault="00000000">
      <w:pPr>
        <w:spacing w:before="50" w:after="0"/>
        <w:jc w:val="center"/>
      </w:pPr>
      <w:r>
        <w:rPr>
          <w:rFonts w:ascii="Arial" w:eastAsia="Arial" w:hAnsi="Arial"/>
          <w:b/>
          <w:bCs/>
          <w:color w:val="15512F"/>
          <w:sz w:val="19"/>
          <w:szCs w:val="19"/>
        </w:rPr>
        <w:t>AUPAM EXPERTS' OFFICE</w:t>
      </w:r>
    </w:p>
    <w:p w14:paraId="0A548FD3"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691E420E" w14:textId="77777777" w:rsidR="00CD5946" w:rsidRDefault="00000000">
      <w:pPr>
        <w:spacing w:before="10" w:after="0"/>
        <w:jc w:val="center"/>
      </w:pPr>
      <w:r>
        <w:rPr>
          <w:rFonts w:ascii="Arial" w:eastAsia="Arial" w:hAnsi="Arial"/>
          <w:b/>
          <w:bCs/>
          <w:color w:val="B08C37"/>
          <w:sz w:val="24"/>
          <w:szCs w:val="24"/>
        </w:rPr>
        <w:t>2026 EDITION</w:t>
      </w:r>
    </w:p>
    <w:p w14:paraId="48D8F9F6" w14:textId="77777777" w:rsidR="00CD5946" w:rsidRDefault="00000000">
      <w:pPr>
        <w:spacing w:before="260" w:after="0"/>
        <w:jc w:val="center"/>
      </w:pPr>
      <w:r>
        <w:rPr>
          <w:rFonts w:ascii="Arial" w:eastAsia="Arial" w:hAnsi="Arial"/>
          <w:b/>
          <w:bCs/>
          <w:color w:val="15512F"/>
          <w:sz w:val="54"/>
          <w:szCs w:val="54"/>
        </w:rPr>
        <w:t>ANNEX 8</w:t>
      </w:r>
    </w:p>
    <w:p w14:paraId="46FA3B44" w14:textId="77777777" w:rsidR="00CD5946" w:rsidRDefault="00000000">
      <w:pPr>
        <w:spacing w:before="40" w:after="0"/>
        <w:jc w:val="center"/>
      </w:pPr>
      <w:r>
        <w:rPr>
          <w:rFonts w:ascii="Arial" w:eastAsia="Arial" w:hAnsi="Arial"/>
          <w:b/>
          <w:bCs/>
          <w:color w:val="1A1A1A"/>
          <w:sz w:val="28"/>
          <w:szCs w:val="28"/>
        </w:rPr>
        <w:t>Sampling of Starting and Packaging Materials</w:t>
      </w:r>
    </w:p>
    <w:p w14:paraId="08C084EF" w14:textId="77777777" w:rsidR="00CD5946" w:rsidRDefault="00000000">
      <w:pPr>
        <w:spacing w:before="16" w:after="0"/>
        <w:jc w:val="center"/>
      </w:pPr>
      <w:r>
        <w:rPr>
          <w:rFonts w:ascii="Arial" w:eastAsia="Arial" w:hAnsi="Arial"/>
          <w:color w:val="5A5A5A"/>
          <w:sz w:val="22"/>
          <w:szCs w:val="22"/>
        </w:rPr>
        <w:t>Identity testing · sampling plans · EN | AR</w:t>
      </w:r>
    </w:p>
    <w:p w14:paraId="5CB88782" w14:textId="77777777" w:rsidR="00CD5946" w:rsidRDefault="00000000">
      <w:pPr>
        <w:spacing w:before="26" w:after="0"/>
        <w:jc w:val="center"/>
      </w:pPr>
      <w:r>
        <w:rPr>
          <w:rFonts w:ascii="Arial" w:eastAsia="Arial" w:hAnsi="Arial"/>
          <w:b/>
          <w:bCs/>
          <w:color w:val="15512F"/>
          <w:sz w:val="22"/>
          <w:szCs w:val="22"/>
          <w:rtl/>
        </w:rPr>
        <w:t>الملحق ⁦</w:t>
      </w:r>
      <w:r>
        <w:rPr>
          <w:rFonts w:ascii="Arial" w:eastAsia="Arial" w:hAnsi="Arial"/>
          <w:b/>
          <w:bCs/>
          <w:color w:val="15512F"/>
          <w:sz w:val="22"/>
          <w:szCs w:val="22"/>
        </w:rPr>
        <w:t>8 —</w:t>
      </w:r>
      <w:r>
        <w:rPr>
          <w:rFonts w:ascii="Arial" w:eastAsia="Arial" w:hAnsi="Arial"/>
          <w:b/>
          <w:bCs/>
          <w:color w:val="15512F"/>
          <w:sz w:val="22"/>
          <w:szCs w:val="22"/>
          <w:rtl/>
        </w:rPr>
        <w:t>⁩ أخذ عينات المواد</w:t>
      </w:r>
    </w:p>
    <w:p w14:paraId="2E337965"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07C4D224" w14:textId="77777777" w:rsidR="00CD5946" w:rsidRDefault="00000000">
      <w:r>
        <w:br w:type="page"/>
      </w:r>
    </w:p>
    <w:p w14:paraId="24BE5645" w14:textId="77777777" w:rsidR="00CD5946" w:rsidRDefault="00000000">
      <w:pPr>
        <w:pStyle w:val="Heading1"/>
        <w:spacing w:before="0"/>
      </w:pPr>
      <w:bookmarkStart w:id="171" w:name="__RefHeading___Toc9499_1729075678"/>
      <w:bookmarkEnd w:id="171"/>
      <w:r>
        <w:lastRenderedPageBreak/>
        <w:t>Contents</w:t>
      </w:r>
    </w:p>
    <w:sdt>
      <w:sdtPr>
        <w:id w:val="1943719173"/>
        <w:docPartObj>
          <w:docPartGallery w:val="Table of Contents"/>
          <w:docPartUnique/>
        </w:docPartObj>
      </w:sdtPr>
      <w:sdtContent>
        <w:p w14:paraId="35004878"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66E8EE4C"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110AB720"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631FEE1C"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5AFE9DCF"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74F8EEC7"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0CED4DAB"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06C958E4"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7563C60B"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0FB17C13"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26F1A3EB"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1F2A3EFF"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32BF8132"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77CC3CB8"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71424BB6"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175F827A"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461D3173"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68FEEC48"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16BB6864"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2EA07CD3"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5DE182D7"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2F656A4B"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60AB8035"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2E625D9A"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0EADA973"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374A65B6"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3C2CD527"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1EFA1170"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7A7BA81C"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74ED43BD"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4D4C9661"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0E31F6A9"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2DD068B1"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2F4D2A17"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3E547B63"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4A0E664C"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25774994"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6C4E6FAE"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181F59E7"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05C8B7C8"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003F245D"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1162B9D0"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137F129E"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0CFA0622"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6EC9FE01"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56224C7A"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7CDCC7BF"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3CE7EC03"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28561239"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0905D41A"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3FA6902F"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73F63164"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46D1ACC2"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74DD69D0"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6D313A82"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149E8770"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20BE910E"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49CF96DC"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3BDB486B"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66760A2F"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59719AB1"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76486E89"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53C56FBC"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585C63C6"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6B6C9305"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3F511CD4"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25CBCE27"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16B07F8B"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0C19B504"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514212CC"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6ED80CB9"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716D15A2"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00E3CE95"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3E78DECE" w14:textId="77777777" w:rsidR="00CD5946" w:rsidRDefault="00CD5946"/>
    <w:p w14:paraId="3E0852EA" w14:textId="77777777" w:rsidR="00CD5946" w:rsidRDefault="00000000">
      <w:pPr>
        <w:pStyle w:val="Heading1"/>
      </w:pPr>
      <w:bookmarkStart w:id="172" w:name="__RefHeading___Toc9501_1729075678"/>
      <w:bookmarkEnd w:id="172"/>
      <w:r>
        <w:t xml:space="preserve">Annex 8 — Sampling of Starting and Packaging Materials  ·  </w:t>
      </w:r>
      <w:r>
        <w:rPr>
          <w:rtl/>
        </w:rPr>
        <w:t xml:space="preserve">الملحق </w:t>
      </w:r>
      <w:r>
        <w:t>8</w:t>
      </w:r>
      <w:r>
        <w:rPr>
          <w:rtl/>
        </w:rPr>
        <w:t xml:space="preserve"> — أخذ عينات المواد الأولية ومواد التعبئة</w:t>
      </w:r>
    </w:p>
    <w:p w14:paraId="6061A449" w14:textId="77777777" w:rsidR="00CD5946" w:rsidRDefault="00000000">
      <w:pPr>
        <w:spacing w:before="10" w:after="150"/>
      </w:pPr>
      <w:r>
        <w:rPr>
          <w:rFonts w:ascii="Arial" w:eastAsia="Arial" w:hAnsi="Arial"/>
          <w:b/>
          <w:bCs/>
          <w:color w:val="C8A24B"/>
          <w:sz w:val="17"/>
          <w:szCs w:val="17"/>
        </w:rPr>
        <w:t xml:space="preserve">Harmonised with: </w:t>
      </w:r>
      <w:r>
        <w:rPr>
          <w:rFonts w:ascii="Arial" w:eastAsia="Arial" w:hAnsi="Arial"/>
          <w:i/>
          <w:iCs/>
          <w:color w:val="5A5A5A"/>
          <w:sz w:val="17"/>
          <w:szCs w:val="17"/>
        </w:rPr>
        <w:t>EU GMP Annex 8 · SFDA GMP Guide v4.4 · PIC/S PE 009-17 Annex 8 · EU GMP Part I, Chapter 6 · WHO TRS guidance on sampling · Ph.Eur./USP general chapters on sampling</w:t>
      </w:r>
    </w:p>
    <w:p w14:paraId="1CE87716" w14:textId="77777777" w:rsidR="00CD5946" w:rsidRDefault="00000000">
      <w:pPr>
        <w:pBdr>
          <w:left w:val="single" w:sz="16" w:space="8" w:color="C8A24B"/>
        </w:pBdr>
        <w:spacing w:after="40"/>
        <w:ind w:left="160"/>
      </w:pPr>
      <w:r>
        <w:rPr>
          <w:rFonts w:ascii="Arial" w:eastAsia="Arial" w:hAnsi="Arial"/>
          <w:b/>
          <w:bCs/>
          <w:color w:val="C8A24B"/>
        </w:rPr>
        <w:t xml:space="preserve">Principle.  </w:t>
      </w:r>
      <w:r>
        <w:rPr>
          <w:rFonts w:ascii="Arial" w:eastAsia="Arial" w:hAnsi="Arial"/>
          <w:color w:val="1A1A1A"/>
        </w:rPr>
        <w:t>Sampling is an important operation in which only a small fraction of a batch is taken; valid conclusions on the whole cannot be based on tests performed on samples that are not representative. Correct sampling is therefore an essential part of a system of quality assurance. The sampling process shall be described in written procedures that define the method, the equipment to be used, the amount to be taken, any sub-division required, precautions to protect the material and the sampler, the cleaning and storage of sampling equipment, and the identification and handling of the samples.</w:t>
      </w:r>
    </w:p>
    <w:p w14:paraId="1D2D566B" w14:textId="77777777" w:rsidR="00CD5946" w:rsidRDefault="00000000">
      <w:pPr>
        <w:bidi/>
        <w:spacing w:after="150"/>
        <w:ind w:right="160"/>
        <w:jc w:val="right"/>
      </w:pPr>
      <w:r>
        <w:rPr>
          <w:rFonts w:ascii="Arial" w:eastAsia="Arial" w:hAnsi="Arial"/>
          <w:b/>
          <w:bCs/>
          <w:color w:val="C8A24B"/>
          <w:sz w:val="20"/>
          <w:szCs w:val="20"/>
          <w:rtl/>
        </w:rPr>
        <w:t xml:space="preserve">المبدأ. </w:t>
      </w:r>
      <w:r>
        <w:rPr>
          <w:rFonts w:ascii="Arial" w:eastAsia="Arial" w:hAnsi="Arial"/>
          <w:color w:val="333333"/>
          <w:sz w:val="20"/>
          <w:szCs w:val="20"/>
          <w:rtl/>
        </w:rPr>
        <w:t>أخذ العينات عملية مهمّة يُؤخذ فيها جزء صغير فقط من الدفعة؛ ولا يمكن بناء استنتاجات صحيحة على الكلّ من عينات غير ممثّلة. لذا يُعدّ الأخذ الصحيح للعينات جزءاً جوهريّاً من ضمان الجودة. وتُوصف العملية في إجراءات مكتوبة تحدّد الطريقة والمعدّات والكمية والتجزئة والاحتياطات وتنظيف المعدّات وتعريف العينات ومناولتها.</w:t>
      </w:r>
    </w:p>
    <w:p w14:paraId="6F590F06" w14:textId="77777777" w:rsidR="00CD5946" w:rsidRDefault="00000000">
      <w:pPr>
        <w:pBdr>
          <w:left w:val="single" w:sz="10" w:space="8" w:color="CFCFCF"/>
        </w:pBdr>
        <w:spacing w:before="60" w:after="30"/>
        <w:ind w:left="160"/>
      </w:pPr>
      <w:r>
        <w:rPr>
          <w:rFonts w:ascii="Arial" w:eastAsia="Arial" w:hAnsi="Arial"/>
          <w:b/>
          <w:bCs/>
          <w:color w:val="15512F"/>
          <w:sz w:val="20"/>
          <w:szCs w:val="20"/>
        </w:rPr>
        <w:t xml:space="preserve">Scope.  </w:t>
      </w:r>
      <w:r>
        <w:rPr>
          <w:rFonts w:ascii="Arial" w:eastAsia="Arial" w:hAnsi="Arial"/>
          <w:color w:val="1A1A1A"/>
          <w:sz w:val="20"/>
          <w:szCs w:val="20"/>
        </w:rPr>
        <w:t>This Annex provides guidance on the sampling of starting materials and packaging materials. It is read together with Chapter 6 (Quality Control). The number of samples, the sampling pattern and the acceptance criteria shall be defined on the basis of a documented, scientifically-sound plan and quality risk management.</w:t>
      </w:r>
    </w:p>
    <w:p w14:paraId="46A2564F" w14:textId="77777777" w:rsidR="00CD5946" w:rsidRDefault="00000000">
      <w:pPr>
        <w:bidi/>
        <w:spacing w:after="150"/>
        <w:ind w:right="160"/>
        <w:jc w:val="right"/>
      </w:pPr>
      <w:r>
        <w:rPr>
          <w:rFonts w:ascii="Arial" w:eastAsia="Arial" w:hAnsi="Arial"/>
          <w:b/>
          <w:bCs/>
          <w:color w:val="15512F"/>
          <w:sz w:val="20"/>
          <w:szCs w:val="20"/>
          <w:rtl/>
        </w:rPr>
        <w:t xml:space="preserve">النطاق. </w:t>
      </w:r>
      <w:r>
        <w:rPr>
          <w:rFonts w:ascii="Arial" w:eastAsia="Arial" w:hAnsi="Arial"/>
          <w:color w:val="333333"/>
          <w:sz w:val="20"/>
          <w:szCs w:val="20"/>
          <w:rtl/>
        </w:rPr>
        <w:t>يقدّم هذا الملحق إرشاداً لأخذ عينات المواد الأولية ومواد التعبئة، ويُقرأ مع الفصل ⁦</w:t>
      </w:r>
      <w:r>
        <w:rPr>
          <w:rFonts w:ascii="Arial" w:eastAsia="Arial" w:hAnsi="Arial"/>
          <w:color w:val="333333"/>
          <w:sz w:val="20"/>
          <w:szCs w:val="20"/>
        </w:rPr>
        <w:t>6</w:t>
      </w:r>
      <w:r>
        <w:rPr>
          <w:rFonts w:ascii="Arial" w:eastAsia="Arial" w:hAnsi="Arial"/>
          <w:color w:val="333333"/>
          <w:sz w:val="20"/>
          <w:szCs w:val="20"/>
          <w:rtl/>
        </w:rPr>
        <w:t>⁩ (مراقبة الجودة). ويُحدّد عدد العينات ونمط الأخذ ومعايير القبول بناءً على خطة موثّقة سليمة علميّاً وإدارة المخاطر.</w:t>
      </w:r>
    </w:p>
    <w:p w14:paraId="5CD5FBB9" w14:textId="77777777" w:rsidR="00CD5946" w:rsidRDefault="00000000">
      <w:pPr>
        <w:pStyle w:val="Heading2"/>
        <w:spacing w:before="220"/>
      </w:pPr>
      <w:bookmarkStart w:id="173" w:name="__RefHeading___Toc9503_1729075678"/>
      <w:bookmarkEnd w:id="173"/>
      <w:r>
        <w:t>1.  Personnel</w:t>
      </w:r>
      <w:r>
        <w:rPr>
          <w:b w:val="0"/>
          <w:bCs w:val="0"/>
          <w:color w:val="1A1A1A"/>
          <w:sz w:val="21"/>
          <w:szCs w:val="21"/>
        </w:rPr>
        <w:t xml:space="preserve">   </w:t>
      </w:r>
      <w:r>
        <w:rPr>
          <w:color w:val="C8A24B"/>
          <w:sz w:val="20"/>
          <w:szCs w:val="20"/>
          <w:rtl/>
        </w:rPr>
        <w:t>الأفراد</w:t>
      </w:r>
    </w:p>
    <w:p w14:paraId="1826DF0C" w14:textId="77777777" w:rsidR="00CD5946" w:rsidRDefault="00000000">
      <w:pPr>
        <w:spacing w:after="40" w:line="266" w:lineRule="auto"/>
        <w:ind w:left="300" w:hanging="300"/>
      </w:pPr>
      <w:r>
        <w:rPr>
          <w:rFonts w:ascii="Arial" w:eastAsia="Arial" w:hAnsi="Arial"/>
          <w:b/>
          <w:bCs/>
          <w:color w:val="15512F"/>
        </w:rPr>
        <w:t xml:space="preserve">8.1  </w:t>
      </w:r>
      <w:r>
        <w:rPr>
          <w:rFonts w:ascii="Arial" w:eastAsia="Arial" w:hAnsi="Arial"/>
          <w:color w:val="1A1A1A"/>
        </w:rPr>
        <w:t xml:space="preserve">Personnel who take samples shall receive initial and ongoing regular training in the disciplines relevant to correct sampling, including the sampling plan, the written procedures, the techniques and equipment, the risks of cross-contamination, the precautions for unstable and/or sterile </w:t>
        <w:lastRenderedPageBreak/>
        <w:t>materials, and the importance of considering the visual appearance of materials and containers. The training shall be documented.</w:t>
      </w:r>
    </w:p>
    <w:p w14:paraId="264785FC" w14:textId="77777777" w:rsidR="00CD5946" w:rsidRDefault="00000000">
      <w:pPr>
        <w:bidi/>
        <w:spacing w:after="150" w:line="300" w:lineRule="auto"/>
        <w:ind w:right="300" w:hanging="300"/>
        <w:jc w:val="right"/>
      </w:pPr>
      <w:r>
        <w:rPr>
          <w:rFonts w:ascii="Arial" w:eastAsia="Arial" w:hAnsi="Arial"/>
          <w:color w:val="333333"/>
          <w:sz w:val="20"/>
          <w:szCs w:val="20"/>
          <w:rtl/>
        </w:rPr>
        <w:t>يتلقّى آخذو العينات تدريباً أوليّاً ومستمرّاً في المجالات ذات الصلة، بما فيها خطة الأخذ والإجراءات المكتوبة والتقنيات والمعدّات ومخاطر التلوث المتبادل واحتياطات المواد غير المستقرّة و/أو المعقّمة وأهمية فحص المظهر البصري. ويُوثّق التدريب.</w:t>
      </w:r>
      <w:r>
        <w:rPr>
          <w:rFonts w:ascii="Arial" w:eastAsia="Arial" w:hAnsi="Arial"/>
          <w:b/>
          <w:bCs/>
          <w:color w:val="15512F"/>
          <w:sz w:val="20"/>
          <w:szCs w:val="20"/>
          <w:rtl/>
        </w:rPr>
        <w:t xml:space="preserve">  ⁦</w:t>
      </w:r>
      <w:r>
        <w:rPr>
          <w:rFonts w:ascii="Arial" w:eastAsia="Arial" w:hAnsi="Arial"/>
          <w:b/>
          <w:bCs/>
          <w:color w:val="15512F"/>
          <w:sz w:val="20"/>
          <w:szCs w:val="20"/>
        </w:rPr>
        <w:t>8.1</w:t>
      </w:r>
      <w:r>
        <w:rPr>
          <w:rFonts w:ascii="Arial" w:eastAsia="Arial" w:hAnsi="Arial"/>
          <w:b/>
          <w:bCs/>
          <w:color w:val="15512F"/>
          <w:sz w:val="20"/>
          <w:szCs w:val="20"/>
          <w:rtl/>
        </w:rPr>
        <w:t>⁩</w:t>
      </w:r>
    </w:p>
    <w:p w14:paraId="20EBD7FC" w14:textId="77777777" w:rsidR="00CD5946" w:rsidRDefault="00000000">
      <w:pPr>
        <w:pStyle w:val="Heading2"/>
        <w:spacing w:before="220"/>
      </w:pPr>
      <w:bookmarkStart w:id="174" w:name="__RefHeading___Toc9505_1729075678"/>
      <w:bookmarkEnd w:id="174"/>
      <w:r>
        <w:t>2.  Starting materials</w:t>
      </w:r>
      <w:r>
        <w:rPr>
          <w:b w:val="0"/>
          <w:bCs w:val="0"/>
          <w:color w:val="1A1A1A"/>
          <w:sz w:val="21"/>
          <w:szCs w:val="21"/>
        </w:rPr>
        <w:t xml:space="preserve">   </w:t>
      </w:r>
      <w:r>
        <w:rPr>
          <w:color w:val="C8A24B"/>
          <w:sz w:val="20"/>
          <w:szCs w:val="20"/>
          <w:rtl/>
        </w:rPr>
        <w:t>المواد الأولية</w:t>
      </w:r>
    </w:p>
    <w:p w14:paraId="12C9A44F" w14:textId="77777777" w:rsidR="00CD5946" w:rsidRDefault="00000000">
      <w:pPr>
        <w:spacing w:after="40" w:line="266" w:lineRule="auto"/>
        <w:ind w:left="300" w:hanging="300"/>
      </w:pPr>
      <w:r>
        <w:rPr>
          <w:rFonts w:ascii="Arial" w:eastAsia="Arial" w:hAnsi="Arial"/>
          <w:b/>
          <w:bCs/>
          <w:color w:val="15512F"/>
        </w:rPr>
        <w:t xml:space="preserve">8.2  </w:t>
      </w:r>
      <w:r>
        <w:rPr>
          <w:rFonts w:ascii="Arial" w:eastAsia="Arial" w:hAnsi="Arial"/>
          <w:color w:val="1A1A1A"/>
        </w:rPr>
        <w:t>The identity of a complete batch of starting materials can normally be assured only if individual samples are taken from all the containers and an identity test performed on each sample. It is permissible to sample only a proportion of the containers where a validated procedure has been established to assure that no single container of starting material has been incorrectly labelled. Such validation shall take account of at least: the nature and status of the manufacturer and supplier and their understanding of GMP; the quality-assurance system of the manufacturer; the manufacturing conditions; and the nature of the material and its use. Under such a system, a reduced identity-sampling plan may be acceptable for a qualified supplier; identity, however, shall always be confirmed for each container sampled.</w:t>
      </w:r>
    </w:p>
    <w:p w14:paraId="5CB1224B"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لا تُضمن هوية دفعة كاملة من المواد الأولية عادةً إلّا بأخذ عينات من جميع الحاويات وإجراء اختبار هوية لكل عينة. ويُسمح بأخذ عينات من نسبة فقط من الحاويات حيث تُوجد عملية مُتحقّقة تضمن ألّا تكون أي حاوية قد وُسمت خطأ. وتراعي هذه العملية: طبيعة المصنّع والمورّد وفهمهما لـ </w:t>
      </w:r>
      <w:r>
        <w:rPr>
          <w:rFonts w:ascii="Arial" w:eastAsia="Arial" w:hAnsi="Arial"/>
          <w:color w:val="333333"/>
          <w:sz w:val="20"/>
          <w:szCs w:val="20"/>
        </w:rPr>
        <w:t>GMP</w:t>
      </w:r>
      <w:r>
        <w:rPr>
          <w:rFonts w:ascii="Arial" w:eastAsia="Arial" w:hAnsi="Arial"/>
          <w:color w:val="333333"/>
          <w:sz w:val="20"/>
          <w:szCs w:val="20"/>
          <w:rtl/>
        </w:rPr>
        <w:t>؛ ونظام ضمان الجودة؛ وظروف التصنيع؛ وطبيعة المادة واستخدامها. وتحت هذا النظام قد تُقبل خطة أخذ مخفّضة لمورّد مؤهّل؛ وتُؤكّد الهوية دائماً لكل حاوية تُؤخذ منها عينة.</w:t>
      </w:r>
      <w:r>
        <w:rPr>
          <w:rFonts w:ascii="Arial" w:eastAsia="Arial" w:hAnsi="Arial"/>
          <w:b/>
          <w:bCs/>
          <w:color w:val="15512F"/>
          <w:sz w:val="20"/>
          <w:szCs w:val="20"/>
          <w:rtl/>
        </w:rPr>
        <w:t xml:space="preserve">  ⁦</w:t>
      </w:r>
      <w:r>
        <w:rPr>
          <w:rFonts w:ascii="Arial" w:eastAsia="Arial" w:hAnsi="Arial"/>
          <w:b/>
          <w:bCs/>
          <w:color w:val="15512F"/>
          <w:sz w:val="20"/>
          <w:szCs w:val="20"/>
        </w:rPr>
        <w:t>8.2</w:t>
      </w:r>
      <w:r>
        <w:rPr>
          <w:rFonts w:ascii="Arial" w:eastAsia="Arial" w:hAnsi="Arial"/>
          <w:b/>
          <w:bCs/>
          <w:color w:val="15512F"/>
          <w:sz w:val="20"/>
          <w:szCs w:val="20"/>
          <w:rtl/>
        </w:rPr>
        <w:t>⁩</w:t>
      </w:r>
    </w:p>
    <w:p w14:paraId="127D8EE9" w14:textId="77777777" w:rsidR="00CD5946" w:rsidRDefault="00000000">
      <w:pPr>
        <w:pBdr>
          <w:left w:val="single" w:sz="6" w:space="8" w:color="CFCFCF"/>
        </w:pBd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The reduced-container identity-sampling provision applies to identity only; it does not reduce the requirement to test the material against its full specification on a representative composite or per the sampling plan. Materials from brokers, or of uncertain supply chain, materials at risk of falsification (for example glycerol/propylene-glycol contamination by diethylene glycol), and starting materials intended for use in parenteral products warrant 100% container identity testing.</w:t>
      </w:r>
    </w:p>
    <w:p w14:paraId="75E03730" w14:textId="77777777" w:rsidR="00CD5946" w:rsidRDefault="00000000">
      <w:pPr>
        <w:bidi/>
        <w:spacing w:after="140"/>
        <w:ind w:right="300"/>
        <w:jc w:val="right"/>
      </w:pPr>
      <w:r>
        <w:rPr>
          <w:rFonts w:ascii="Arial" w:eastAsia="Arial" w:hAnsi="Arial"/>
          <w:color w:val="5A5A5A"/>
          <w:sz w:val="18"/>
          <w:szCs w:val="18"/>
          <w:rtl/>
        </w:rPr>
        <w:t>تنطبق رخصة أخذ عينات الهوية من نسبة من الحاويات على الهوية فقط؛ ولا تُخفّض متطلّب اختبار المادة مقابل مواصفتها الكاملة. وتستوجب المواد من الوسطاء أو غير المؤكّدة السلسلة والمعرضة للتزوير (كتلوث الجليسرول بثنائي إيثيلين الجلايكول) والمواد الأولية الموجّهة لمنتجات حقنية اختبار هوية لكل الحاويات (⁦</w:t>
      </w:r>
      <w:r>
        <w:rPr>
          <w:rFonts w:ascii="Arial" w:eastAsia="Arial" w:hAnsi="Arial"/>
          <w:color w:val="5A5A5A"/>
          <w:sz w:val="18"/>
          <w:szCs w:val="18"/>
        </w:rPr>
        <w:t>100%</w:t>
      </w:r>
      <w:r>
        <w:rPr>
          <w:rFonts w:ascii="Arial" w:eastAsia="Arial" w:hAnsi="Arial"/>
          <w:color w:val="5A5A5A"/>
          <w:sz w:val="18"/>
          <w:szCs w:val="18"/>
          <w:rtl/>
        </w:rPr>
        <w:t>⁩).</w:t>
      </w:r>
      <w:r>
        <w:rPr>
          <w:rFonts w:ascii="Arial" w:eastAsia="Arial" w:hAnsi="Arial"/>
          <w:b/>
          <w:bCs/>
          <w:color w:val="5A5A5A"/>
          <w:sz w:val="18"/>
          <w:szCs w:val="18"/>
          <w:rtl/>
        </w:rPr>
        <w:t xml:space="preserve">  ملاحظة.</w:t>
      </w:r>
    </w:p>
    <w:p w14:paraId="35B235A2" w14:textId="77777777" w:rsidR="00CD5946" w:rsidRDefault="00000000">
      <w:pPr>
        <w:pStyle w:val="Heading2"/>
        <w:spacing w:before="220"/>
      </w:pPr>
      <w:bookmarkStart w:id="175" w:name="__RefHeading___Toc9507_1729075678"/>
      <w:bookmarkEnd w:id="175"/>
      <w:r>
        <w:t>3.  Packaging materials</w:t>
      </w:r>
      <w:r>
        <w:rPr>
          <w:b w:val="0"/>
          <w:bCs w:val="0"/>
          <w:color w:val="1A1A1A"/>
          <w:sz w:val="21"/>
          <w:szCs w:val="21"/>
        </w:rPr>
        <w:t xml:space="preserve">   </w:t>
      </w:r>
      <w:r>
        <w:rPr>
          <w:color w:val="C8A24B"/>
          <w:sz w:val="20"/>
          <w:szCs w:val="20"/>
          <w:rtl/>
        </w:rPr>
        <w:t>مواد التعبئة</w:t>
      </w:r>
    </w:p>
    <w:p w14:paraId="10C051CF" w14:textId="77777777" w:rsidR="00CD5946" w:rsidRDefault="00000000">
      <w:pPr>
        <w:spacing w:after="40" w:line="266" w:lineRule="auto"/>
        <w:ind w:left="300" w:hanging="300"/>
      </w:pPr>
      <w:r>
        <w:rPr>
          <w:rFonts w:ascii="Arial" w:eastAsia="Arial" w:hAnsi="Arial"/>
          <w:b/>
          <w:bCs/>
          <w:color w:val="15512F"/>
        </w:rPr>
        <w:t xml:space="preserve">8.3  </w:t>
      </w:r>
      <w:r>
        <w:rPr>
          <w:rFonts w:ascii="Arial" w:eastAsia="Arial" w:hAnsi="Arial"/>
          <w:color w:val="1A1A1A"/>
        </w:rPr>
        <w:t>The sampling plan for packaging materials shall take account of at least: the quantity received; the quality required; the nature of the material (for example printed/primary packaging versus secondary); the production methods; and what is known of the manufacturer’s quality-assurance system based on audits. The number of samples taken should be determined statistically and specified in a sampling plan. Printed and primary packaging materials warrant particular attention given their direct impact on product identity and integrity.</w:t>
      </w:r>
    </w:p>
    <w:p w14:paraId="3D0F3064" w14:textId="77777777" w:rsidR="00CD5946" w:rsidRDefault="00000000">
      <w:pPr>
        <w:bidi/>
        <w:spacing w:after="150" w:line="300" w:lineRule="auto"/>
        <w:ind w:right="300" w:hanging="300"/>
        <w:jc w:val="right"/>
      </w:pPr>
      <w:r>
        <w:rPr>
          <w:rFonts w:ascii="Arial" w:eastAsia="Arial" w:hAnsi="Arial"/>
          <w:color w:val="333333"/>
          <w:sz w:val="20"/>
          <w:szCs w:val="20"/>
          <w:rtl/>
        </w:rPr>
        <w:t>تراعي خطة أخذ عينات مواد التعبئة: الكمية المُستلمة؛ والجودة المطلوبة؛ وطبيعة المادة (مطبوعة/أولية أم ثانوية)؛ وطرائق الإنتاج؛ وما يُعرف عن نظام جودة المصنّع من التدقيق. ويُحدّد عدد العينات إحصائيّاً ويُوثّق في خطة. وتستحقّ المواد المطبوعة والأولية اهتماماً خاصّاً لأثرها المباشر في هوية المنتج وسلامته.</w:t>
      </w:r>
      <w:r>
        <w:rPr>
          <w:rFonts w:ascii="Arial" w:eastAsia="Arial" w:hAnsi="Arial"/>
          <w:b/>
          <w:bCs/>
          <w:color w:val="15512F"/>
          <w:sz w:val="20"/>
          <w:szCs w:val="20"/>
          <w:rtl/>
        </w:rPr>
        <w:t xml:space="preserve">  ⁦</w:t>
      </w:r>
      <w:r>
        <w:rPr>
          <w:rFonts w:ascii="Arial" w:eastAsia="Arial" w:hAnsi="Arial"/>
          <w:b/>
          <w:bCs/>
          <w:color w:val="15512F"/>
          <w:sz w:val="20"/>
          <w:szCs w:val="20"/>
        </w:rPr>
        <w:t>8.3</w:t>
      </w:r>
      <w:r>
        <w:rPr>
          <w:rFonts w:ascii="Arial" w:eastAsia="Arial" w:hAnsi="Arial"/>
          <w:b/>
          <w:bCs/>
          <w:color w:val="15512F"/>
          <w:sz w:val="20"/>
          <w:szCs w:val="20"/>
          <w:rtl/>
        </w:rPr>
        <w:t>⁩</w:t>
      </w:r>
    </w:p>
    <w:p w14:paraId="0AC03D08" w14:textId="77777777" w:rsidR="00CD5946" w:rsidRDefault="00000000">
      <w:pPr>
        <w:pStyle w:val="Heading2"/>
        <w:spacing w:before="220"/>
      </w:pPr>
      <w:bookmarkStart w:id="176" w:name="__RefHeading___Toc9509_1729075678"/>
      <w:bookmarkEnd w:id="176"/>
      <w:r>
        <w:t>4.  Glossary (Annex 8)</w:t>
      </w:r>
      <w:r>
        <w:rPr>
          <w:b w:val="0"/>
          <w:bCs w:val="0"/>
          <w:color w:val="1A1A1A"/>
          <w:sz w:val="21"/>
          <w:szCs w:val="21"/>
        </w:rPr>
        <w:t xml:space="preserve">   </w:t>
      </w:r>
      <w:r>
        <w:rPr>
          <w:color w:val="C8A24B"/>
          <w:sz w:val="20"/>
          <w:szCs w:val="20"/>
          <w:rtl/>
        </w:rPr>
        <w:t>مسرد الملحق</w:t>
      </w:r>
      <w:r>
        <w:rPr>
          <w:color w:val="C8A24B"/>
          <w:sz w:val="20"/>
          <w:szCs w:val="20"/>
        </w:rPr>
        <w:t xml:space="preserve"> ⁦8⁩</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700"/>
        <w:gridCol w:w="6660"/>
      </w:tblGrid>
      <w:tr w:rsidR="00CD5946" w14:paraId="09D2F9B5" w14:textId="77777777">
        <w:trPr>
          <w:tblHeader/>
        </w:trPr>
        <w:tc>
          <w:tcPr>
            <w:tcW w:w="2700" w:type="dxa"/>
            <w:tcBorders>
              <w:top w:val="single" w:sz="2" w:space="0" w:color="BFC9C0"/>
              <w:left w:val="single" w:sz="2" w:space="0" w:color="BFC9C0"/>
              <w:bottom w:val="single" w:sz="2" w:space="0" w:color="BFC9C0"/>
              <w:right w:val="single" w:sz="2" w:space="0" w:color="BFC9C0"/>
            </w:tcBorders>
            <w:shd w:val="clear" w:color="auto" w:fill="0E5A50"/>
          </w:tcPr>
          <w:p w14:paraId="0BF20113" w14:textId="77777777" w:rsidR="00CD5946" w:rsidRDefault="00000000">
            <w:pPr>
              <w:spacing w:after="0"/>
            </w:pPr>
            <w:r>
              <w:rPr>
                <w:rFonts w:ascii="Arial" w:eastAsia="Arial" w:hAnsi="Arial"/>
                <w:b/>
                <w:bCs/>
                <w:color w:val="FFFFFF"/>
                <w:sz w:val="18"/>
                <w:szCs w:val="18"/>
              </w:rPr>
              <w:t xml:space="preserve">Term / </w:t>
            </w:r>
            <w:r>
              <w:rPr>
                <w:rFonts w:ascii="Arial" w:eastAsia="Arial" w:hAnsi="Arial"/>
                <w:b/>
                <w:bCs/>
                <w:color w:val="FFFFFF"/>
                <w:sz w:val="18"/>
                <w:szCs w:val="18"/>
                <w:rtl/>
              </w:rPr>
              <w:t>المصطلح</w:t>
            </w:r>
          </w:p>
        </w:tc>
        <w:tc>
          <w:tcPr>
            <w:tcW w:w="6660" w:type="dxa"/>
            <w:tcBorders>
              <w:top w:val="single" w:sz="2" w:space="0" w:color="BFC9C0"/>
              <w:left w:val="single" w:sz="2" w:space="0" w:color="BFC9C0"/>
              <w:bottom w:val="single" w:sz="2" w:space="0" w:color="BFC9C0"/>
              <w:right w:val="single" w:sz="2" w:space="0" w:color="BFC9C0"/>
            </w:tcBorders>
            <w:shd w:val="clear" w:color="auto" w:fill="0E5A50"/>
          </w:tcPr>
          <w:p w14:paraId="5E1FECF9" w14:textId="77777777" w:rsidR="00CD5946" w:rsidRDefault="00000000">
            <w:pPr>
              <w:spacing w:after="0"/>
            </w:pPr>
            <w:r>
              <w:rPr>
                <w:rFonts w:ascii="Arial" w:eastAsia="Arial" w:hAnsi="Arial"/>
                <w:b/>
                <w:bCs/>
                <w:color w:val="FFFFFF"/>
                <w:sz w:val="18"/>
                <w:szCs w:val="18"/>
              </w:rPr>
              <w:t xml:space="preserve">Definition / </w:t>
            </w:r>
            <w:r>
              <w:rPr>
                <w:rFonts w:ascii="Arial" w:eastAsia="Arial" w:hAnsi="Arial"/>
                <w:b/>
                <w:bCs/>
                <w:color w:val="FFFFFF"/>
                <w:sz w:val="18"/>
                <w:szCs w:val="18"/>
                <w:rtl/>
              </w:rPr>
              <w:t>التعريف</w:t>
            </w:r>
          </w:p>
        </w:tc>
      </w:tr>
      <w:tr w:rsidR="00CD5946" w14:paraId="02103F9B"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7DC241C8" w14:textId="77777777" w:rsidR="00CD5946" w:rsidRDefault="00000000">
            <w:pPr>
              <w:spacing w:after="0"/>
            </w:pPr>
            <w:r>
              <w:rPr>
                <w:rFonts w:ascii="Arial" w:eastAsia="Arial" w:hAnsi="Arial"/>
                <w:b/>
                <w:bCs/>
                <w:color w:val="15512F"/>
                <w:sz w:val="18"/>
                <w:szCs w:val="18"/>
              </w:rPr>
              <w:t>Representative sample</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20629C3B" w14:textId="77777777" w:rsidR="00CD5946" w:rsidRDefault="00000000">
            <w:pPr>
              <w:spacing w:after="0"/>
            </w:pPr>
            <w:r>
              <w:rPr>
                <w:rFonts w:ascii="Arial" w:eastAsia="Arial" w:hAnsi="Arial"/>
                <w:color w:val="1A1A1A"/>
                <w:sz w:val="18"/>
                <w:szCs w:val="18"/>
              </w:rPr>
              <w:t xml:space="preserve">A sample taken so that its composition reflects, with acceptable accuracy, that of the batch from which it is drawn. / </w:t>
            </w:r>
            <w:r>
              <w:rPr>
                <w:rFonts w:ascii="Arial" w:eastAsia="Arial" w:hAnsi="Arial"/>
                <w:color w:val="1A1A1A"/>
                <w:sz w:val="18"/>
                <w:szCs w:val="18"/>
                <w:rtl/>
              </w:rPr>
              <w:t>عينة تعكس تركيب الدفعة بدقة مقبولة</w:t>
            </w:r>
            <w:r>
              <w:rPr>
                <w:rFonts w:ascii="Arial" w:eastAsia="Arial" w:hAnsi="Arial"/>
                <w:color w:val="1A1A1A"/>
                <w:sz w:val="18"/>
                <w:szCs w:val="18"/>
              </w:rPr>
              <w:t>.</w:t>
            </w:r>
          </w:p>
        </w:tc>
      </w:tr>
      <w:tr w:rsidR="00CD5946" w14:paraId="3803C4AD"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4464CB51" w14:textId="77777777" w:rsidR="00CD5946" w:rsidRDefault="00000000">
            <w:pPr>
              <w:spacing w:after="0"/>
            </w:pPr>
            <w:r>
              <w:rPr>
                <w:rFonts w:ascii="Arial" w:eastAsia="Arial" w:hAnsi="Arial"/>
                <w:b/>
                <w:bCs/>
                <w:color w:val="15512F"/>
                <w:sz w:val="18"/>
                <w:szCs w:val="18"/>
              </w:rPr>
              <w:t>Identity test</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69D8AA22" w14:textId="77777777" w:rsidR="00CD5946" w:rsidRDefault="00000000">
            <w:pPr>
              <w:spacing w:after="0"/>
            </w:pPr>
            <w:r>
              <w:rPr>
                <w:rFonts w:ascii="Arial" w:eastAsia="Arial" w:hAnsi="Arial"/>
                <w:color w:val="1A1A1A"/>
                <w:sz w:val="18"/>
                <w:szCs w:val="18"/>
              </w:rPr>
              <w:t xml:space="preserve">A test confirming that the material is what it is declared to be, performed on each container sampled. / </w:t>
            </w:r>
            <w:r>
              <w:rPr>
                <w:rFonts w:ascii="Arial" w:eastAsia="Arial" w:hAnsi="Arial"/>
                <w:color w:val="1A1A1A"/>
                <w:sz w:val="18"/>
                <w:szCs w:val="18"/>
                <w:rtl/>
              </w:rPr>
              <w:t>اختبار يؤكّد أنّ المادة هي المُصرّح بها</w:t>
            </w:r>
            <w:r>
              <w:rPr>
                <w:rFonts w:ascii="Arial" w:eastAsia="Arial" w:hAnsi="Arial"/>
                <w:color w:val="1A1A1A"/>
                <w:sz w:val="18"/>
                <w:szCs w:val="18"/>
              </w:rPr>
              <w:t>.</w:t>
            </w:r>
          </w:p>
        </w:tc>
      </w:tr>
      <w:tr w:rsidR="00CD5946" w14:paraId="78FDF52A"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039CF106" w14:textId="77777777" w:rsidR="00CD5946" w:rsidRDefault="00000000">
            <w:pPr>
              <w:spacing w:after="0"/>
            </w:pPr>
            <w:r>
              <w:rPr>
                <w:rFonts w:ascii="Arial" w:eastAsia="Arial" w:hAnsi="Arial"/>
                <w:b/>
                <w:bCs/>
                <w:color w:val="15512F"/>
                <w:sz w:val="18"/>
                <w:szCs w:val="18"/>
              </w:rPr>
              <w:t>Sampling plan</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36D7344B" w14:textId="77777777" w:rsidR="00CD5946" w:rsidRDefault="00000000">
            <w:pPr>
              <w:spacing w:after="0"/>
            </w:pPr>
            <w:r>
              <w:rPr>
                <w:rFonts w:ascii="Arial" w:eastAsia="Arial" w:hAnsi="Arial"/>
                <w:color w:val="1A1A1A"/>
                <w:sz w:val="18"/>
                <w:szCs w:val="18"/>
              </w:rPr>
              <w:t xml:space="preserve">A documented scheme defining the number of containers/units to sample, the amount, and the acceptance criteria. / </w:t>
            </w:r>
            <w:r>
              <w:rPr>
                <w:rFonts w:ascii="Arial" w:eastAsia="Arial" w:hAnsi="Arial"/>
                <w:color w:val="1A1A1A"/>
                <w:sz w:val="18"/>
                <w:szCs w:val="18"/>
                <w:rtl/>
              </w:rPr>
              <w:t>خطة موثّقة لعدد العينات والكمية والمعايير</w:t>
            </w:r>
            <w:r>
              <w:rPr>
                <w:rFonts w:ascii="Arial" w:eastAsia="Arial" w:hAnsi="Arial"/>
                <w:color w:val="1A1A1A"/>
                <w:sz w:val="18"/>
                <w:szCs w:val="18"/>
              </w:rPr>
              <w:t>.</w:t>
            </w:r>
          </w:p>
        </w:tc>
      </w:tr>
    </w:tbl>
    <w:p w14:paraId="41B336E2" w14:textId="77777777" w:rsidR="00CD5946" w:rsidRDefault="00000000">
      <w:pPr>
        <w:spacing w:before="260" w:after="0"/>
        <w:jc w:val="center"/>
      </w:pPr>
      <w:r>
        <w:rPr>
          <w:noProof/>
        </w:rPr>
        <w:lastRenderedPageBreak/>
        <w:drawing>
          <wp:inline distT="0" distB="0" distL="0" distR="0" wp14:anchorId="614B1A9F" wp14:editId="194920A7">
            <wp:extent cx="876300" cy="1238250"/>
            <wp:effectExtent l="0" t="0" r="0" b="0"/>
            <wp:docPr id="12" name="Image11"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134D41DD" w14:textId="77777777" w:rsidR="00CD5946" w:rsidRDefault="00000000">
      <w:pPr>
        <w:spacing w:before="50" w:after="0"/>
        <w:jc w:val="center"/>
      </w:pPr>
      <w:r>
        <w:rPr>
          <w:rFonts w:ascii="Arial" w:eastAsia="Arial" w:hAnsi="Arial"/>
          <w:b/>
          <w:bCs/>
          <w:color w:val="15512F"/>
          <w:sz w:val="19"/>
          <w:szCs w:val="19"/>
        </w:rPr>
        <w:t>AUPAM EXPERTS' OFFICE</w:t>
      </w:r>
    </w:p>
    <w:p w14:paraId="15E472E3"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78181965" w14:textId="77777777" w:rsidR="00CD5946" w:rsidRDefault="00000000">
      <w:pPr>
        <w:spacing w:before="10" w:after="0"/>
        <w:jc w:val="center"/>
      </w:pPr>
      <w:r>
        <w:rPr>
          <w:rFonts w:ascii="Arial" w:eastAsia="Arial" w:hAnsi="Arial"/>
          <w:b/>
          <w:bCs/>
          <w:color w:val="B08C37"/>
          <w:sz w:val="24"/>
          <w:szCs w:val="24"/>
        </w:rPr>
        <w:t>2026 EDITION</w:t>
      </w:r>
    </w:p>
    <w:p w14:paraId="4F933AF7" w14:textId="77777777" w:rsidR="00CD5946" w:rsidRDefault="00000000">
      <w:pPr>
        <w:spacing w:before="260" w:after="0"/>
        <w:jc w:val="center"/>
      </w:pPr>
      <w:r>
        <w:rPr>
          <w:rFonts w:ascii="Arial" w:eastAsia="Arial" w:hAnsi="Arial"/>
          <w:b/>
          <w:bCs/>
          <w:color w:val="15512F"/>
          <w:sz w:val="54"/>
          <w:szCs w:val="54"/>
        </w:rPr>
        <w:t>ANNEX 11</w:t>
      </w:r>
    </w:p>
    <w:p w14:paraId="5E49F88F" w14:textId="77777777" w:rsidR="00CD5946" w:rsidRDefault="00000000">
      <w:pPr>
        <w:spacing w:before="40" w:after="0"/>
        <w:jc w:val="center"/>
      </w:pPr>
      <w:r>
        <w:rPr>
          <w:rFonts w:ascii="Arial" w:eastAsia="Arial" w:hAnsi="Arial"/>
          <w:b/>
          <w:bCs/>
          <w:color w:val="1A1A1A"/>
          <w:sz w:val="28"/>
          <w:szCs w:val="28"/>
        </w:rPr>
        <w:t>Computerised Systems · full bilingual clause-by-clause</w:t>
      </w:r>
    </w:p>
    <w:p w14:paraId="56D17631" w14:textId="77777777" w:rsidR="00CD5946" w:rsidRDefault="00000000">
      <w:pPr>
        <w:spacing w:before="16" w:after="0"/>
        <w:jc w:val="center"/>
      </w:pPr>
      <w:r>
        <w:rPr>
          <w:rFonts w:ascii="Arial" w:eastAsia="Arial" w:hAnsi="Arial"/>
          <w:color w:val="5A5A5A"/>
          <w:sz w:val="22"/>
          <w:szCs w:val="22"/>
        </w:rPr>
        <w:t>Sections 1 – 15 · EN | AR · with data-integrity / ALCOA+</w:t>
      </w:r>
    </w:p>
    <w:p w14:paraId="3CB01363" w14:textId="77777777" w:rsidR="00CD5946" w:rsidRDefault="00000000">
      <w:pPr>
        <w:spacing w:before="26" w:after="0"/>
        <w:jc w:val="center"/>
      </w:pPr>
      <w:r>
        <w:rPr>
          <w:rFonts w:ascii="Arial" w:eastAsia="Arial" w:hAnsi="Arial"/>
          <w:b/>
          <w:bCs/>
          <w:color w:val="15512F"/>
          <w:sz w:val="22"/>
          <w:szCs w:val="22"/>
          <w:rtl/>
        </w:rPr>
        <w:t>الملحق ⁦</w:t>
      </w:r>
      <w:r>
        <w:rPr>
          <w:rFonts w:ascii="Arial" w:eastAsia="Arial" w:hAnsi="Arial"/>
          <w:b/>
          <w:bCs/>
          <w:color w:val="15512F"/>
          <w:sz w:val="22"/>
          <w:szCs w:val="22"/>
        </w:rPr>
        <w:t>11 —</w:t>
      </w:r>
      <w:r>
        <w:rPr>
          <w:rFonts w:ascii="Arial" w:eastAsia="Arial" w:hAnsi="Arial"/>
          <w:b/>
          <w:bCs/>
          <w:color w:val="15512F"/>
          <w:sz w:val="22"/>
          <w:szCs w:val="22"/>
          <w:rtl/>
        </w:rPr>
        <w:t>⁩ الأنظمة المحوسبة</w:t>
      </w:r>
    </w:p>
    <w:p w14:paraId="49E491C9"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60B9972C" w14:textId="77777777" w:rsidR="00CD5946" w:rsidRDefault="00000000">
      <w:r>
        <w:br w:type="page"/>
      </w:r>
    </w:p>
    <w:p w14:paraId="4AE953F1" w14:textId="77777777" w:rsidR="00CD5946" w:rsidRDefault="00000000">
      <w:pPr>
        <w:pStyle w:val="Heading1"/>
        <w:spacing w:before="0"/>
      </w:pPr>
      <w:bookmarkStart w:id="177" w:name="__RefHeading___Toc9511_1729075678"/>
      <w:bookmarkEnd w:id="177"/>
      <w:r>
        <w:lastRenderedPageBreak/>
        <w:t>Contents</w:t>
      </w:r>
    </w:p>
    <w:sdt>
      <w:sdtPr>
        <w:id w:val="-1748876670"/>
        <w:docPartObj>
          <w:docPartGallery w:val="Table of Contents"/>
          <w:docPartUnique/>
        </w:docPartObj>
      </w:sdtPr>
      <w:sdtContent>
        <w:p w14:paraId="74462009"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4147F128"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7FFB56FB"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6844D803"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341FDC9B"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455F0744"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69A69730"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37030453"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09C9AF9C"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1962A3C7"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7831D44B"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2AAA3AA2"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5F981637"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6899331D"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584AD865"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4A5C7401"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57DB37FB"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0FFF8E6C"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5A0790D6"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6F4C4625"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5C2BE290"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1A9FA886"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7A10D9F8"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7386EF42"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1A95B409"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7C2876E3"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3765D674"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58E100DF"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4AEB57F5"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419A2FE4"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532C0828"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5B41C790"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0591C1C6"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43C36FF8"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3BAB48EC"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351958AE"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286BE7F9"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4EAF105A"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2D131ED1"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519214C3"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6C3358B3"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08DEBF65"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64613C9D"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015F3259"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3C1B359B"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7AE45AC4"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257B063E"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7BAB47DF"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74F11D8F"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6107F859"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09CF62D9"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740FE39D"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209BF480"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19FF8CB9"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7BC64DD9"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01A58A54"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46B85BCF"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29A6DCE2"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01749063"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6FD3E7F9"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2F773CA3"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0C5DFDED"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0CE3363B"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03A433B4"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4D6031B1"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7E5F4111"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27502D5A"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49E8990E"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7B44933C"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10D16D3F"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4D58B485"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5F1239B7"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593D14CB"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17539E7E" w14:textId="77777777" w:rsidR="00CD5946" w:rsidRDefault="00CD5946"/>
    <w:p w14:paraId="7DF40D14" w14:textId="77777777" w:rsidR="00CD5946" w:rsidRDefault="00000000">
      <w:pPr>
        <w:pStyle w:val="Heading1"/>
      </w:pPr>
      <w:bookmarkStart w:id="178" w:name="__RefHeading___Toc9513_1729075678"/>
      <w:bookmarkEnd w:id="178"/>
      <w:r>
        <w:t xml:space="preserve">Annex 11 — Computerised Systems  ·  </w:t>
      </w:r>
      <w:r>
        <w:rPr>
          <w:rtl/>
        </w:rPr>
        <w:t xml:space="preserve">الملحق </w:t>
      </w:r>
      <w:r>
        <w:t>11</w:t>
      </w:r>
      <w:r>
        <w:rPr>
          <w:rtl/>
        </w:rPr>
        <w:t xml:space="preserve"> — الأنظمة المحوسبة</w:t>
      </w:r>
    </w:p>
    <w:p w14:paraId="16A6B925" w14:textId="77777777" w:rsidR="00CD5946" w:rsidRDefault="00000000">
      <w:pPr>
        <w:spacing w:before="10" w:after="150"/>
      </w:pPr>
      <w:r>
        <w:rPr>
          <w:rFonts w:ascii="Arial" w:eastAsia="Arial" w:hAnsi="Arial"/>
          <w:b/>
          <w:bCs/>
          <w:color w:val="C8A24B"/>
          <w:sz w:val="17"/>
          <w:szCs w:val="17"/>
        </w:rPr>
        <w:t xml:space="preserve">Harmonised with: </w:t>
      </w:r>
      <w:r>
        <w:rPr>
          <w:rFonts w:ascii="Arial" w:eastAsia="Arial" w:hAnsi="Arial"/>
          <w:i/>
          <w:iCs/>
          <w:color w:val="5A5A5A"/>
          <w:sz w:val="17"/>
          <w:szCs w:val="17"/>
        </w:rPr>
        <w:t>EU GMP Annex 11 · SFDA GMP Guide v4.4, Annex 11 · PIC/S PE 009-17 Annex 11 · PIC/S PI 041-1 (Data Integrity, 2021) · US FDA 21 CFR Part 11; FDA Data Integrity Guidance (2018) · ISPE GAMP 5 (2nd ed., 2022) · ICH Q9(R1) · WHO TRS 1033 Annex 4</w:t>
      </w:r>
    </w:p>
    <w:p w14:paraId="1519841B" w14:textId="77777777" w:rsidR="00CD5946" w:rsidRDefault="00000000">
      <w:pPr>
        <w:pBdr>
          <w:left w:val="single" w:sz="16" w:space="8" w:color="C8A24B"/>
        </w:pBdr>
        <w:spacing w:after="40"/>
        <w:ind w:left="160"/>
      </w:pPr>
      <w:r>
        <w:rPr>
          <w:rFonts w:ascii="Arial" w:eastAsia="Arial" w:hAnsi="Arial"/>
          <w:b/>
          <w:bCs/>
          <w:color w:val="C8A24B"/>
        </w:rPr>
        <w:t xml:space="preserve">Principle.  </w:t>
      </w:r>
      <w:r>
        <w:rPr>
          <w:rFonts w:ascii="Arial" w:eastAsia="Arial" w:hAnsi="Arial"/>
          <w:color w:val="1A1A1A"/>
        </w:rPr>
        <w:t>This Annex applies to all forms of computerised systems used as part of GMP-regulated activities. A computerised system is a set of software and hardware components which together fulfil certain functionalities. The application should be validated and the IT infrastructure should be qualified. Where a computerised system replaces a manual operation, there should be no resultant decrease in product quality, process control or quality assurance, and there should be no increase in the overall risk of the process. Risk management shall be applied throughout the lifecycle, taking into account patient safety, data integrity and product quality.</w:t>
      </w:r>
    </w:p>
    <w:p w14:paraId="0EEDB41D" w14:textId="77777777" w:rsidR="00CD5946" w:rsidRDefault="00000000">
      <w:pPr>
        <w:bidi/>
        <w:spacing w:after="150"/>
        <w:ind w:right="160"/>
        <w:jc w:val="right"/>
      </w:pPr>
      <w:r>
        <w:rPr>
          <w:rFonts w:ascii="Arial" w:eastAsia="Arial" w:hAnsi="Arial"/>
          <w:b/>
          <w:bCs/>
          <w:color w:val="C8A24B"/>
          <w:sz w:val="20"/>
          <w:szCs w:val="20"/>
          <w:rtl/>
        </w:rPr>
        <w:t xml:space="preserve">المبدأ. </w:t>
      </w:r>
      <w:r>
        <w:rPr>
          <w:rFonts w:ascii="Arial" w:eastAsia="Arial" w:hAnsi="Arial"/>
          <w:color w:val="333333"/>
          <w:sz w:val="20"/>
          <w:szCs w:val="20"/>
          <w:rtl/>
        </w:rPr>
        <w:t xml:space="preserve">ينطبق هذا الملحق على جميع أشكال الأنظمة المحوسبة المستخدمة ضمن أنشطة خاضعة لـ </w:t>
      </w:r>
      <w:r>
        <w:rPr>
          <w:rFonts w:ascii="Arial" w:eastAsia="Arial" w:hAnsi="Arial"/>
          <w:color w:val="333333"/>
          <w:sz w:val="20"/>
          <w:szCs w:val="20"/>
        </w:rPr>
        <w:t>GMP</w:t>
      </w:r>
      <w:r>
        <w:rPr>
          <w:rFonts w:ascii="Arial" w:eastAsia="Arial" w:hAnsi="Arial"/>
          <w:color w:val="333333"/>
          <w:sz w:val="20"/>
          <w:szCs w:val="20"/>
          <w:rtl/>
        </w:rPr>
        <w:t>. والنظام المحوسب مجموعة من مكوّنات البرمجيات والعتاد تؤدّي معاً وظائف محدّدة. ويُتحقّق من التطبيق وتُؤهّل البنية التحتية. وعند إحلال نظام محوسب محلّ عملية يدوية يجب ألّا ينتج عنه تدنٍّ في الجودة أو الضبط أو ضمان الجودة، ولا زيادة في المخاطر الإجمالية. وتُطبّق إدارة المخاطر طوال دورة الحياة مع مراعاة سلامة المريض وسلامة البيانات وجودة المنتج.</w:t>
      </w:r>
    </w:p>
    <w:p w14:paraId="502367C5" w14:textId="77777777" w:rsidR="00CD5946" w:rsidRDefault="00000000">
      <w:pPr>
        <w:pBdr>
          <w:left w:val="single" w:sz="10" w:space="8" w:color="CFCFCF"/>
        </w:pBdr>
        <w:spacing w:before="60" w:after="30"/>
        <w:ind w:left="160"/>
      </w:pPr>
      <w:r>
        <w:rPr>
          <w:rFonts w:ascii="Arial" w:eastAsia="Arial" w:hAnsi="Arial"/>
          <w:b/>
          <w:bCs/>
          <w:color w:val="15512F"/>
          <w:sz w:val="20"/>
          <w:szCs w:val="20"/>
        </w:rPr>
        <w:t xml:space="preserve">Scope.  </w:t>
      </w:r>
      <w:r>
        <w:rPr>
          <w:rFonts w:ascii="Arial" w:eastAsia="Arial" w:hAnsi="Arial"/>
          <w:color w:val="1A1A1A"/>
          <w:sz w:val="20"/>
          <w:szCs w:val="20"/>
        </w:rPr>
        <w:t>This Annex applies to all computerised systems used as part of GMP-regulated activities, whether they control, monitor, record or report on the manufacture, testing, storage, distribution or release of medicinal products. It covers the application software and the supporting IT infrastructure across the system lifecycle, and integrates data-integrity expectations (ALCOA+). It does not prescribe a particular technology or supplier.</w:t>
      </w:r>
    </w:p>
    <w:p w14:paraId="7950C2FC" w14:textId="77777777" w:rsidR="00CD5946" w:rsidRDefault="00000000">
      <w:pPr>
        <w:bidi/>
        <w:spacing w:after="150"/>
        <w:ind w:right="160"/>
        <w:jc w:val="right"/>
      </w:pPr>
      <w:r>
        <w:rPr>
          <w:rFonts w:ascii="Arial" w:eastAsia="Arial" w:hAnsi="Arial"/>
          <w:b/>
          <w:bCs/>
          <w:color w:val="15512F"/>
          <w:sz w:val="20"/>
          <w:szCs w:val="20"/>
          <w:rtl/>
        </w:rPr>
        <w:t xml:space="preserve">النطاق. </w:t>
      </w:r>
      <w:r>
        <w:rPr>
          <w:rFonts w:ascii="Arial" w:eastAsia="Arial" w:hAnsi="Arial"/>
          <w:color w:val="333333"/>
          <w:sz w:val="20"/>
          <w:szCs w:val="20"/>
          <w:rtl/>
        </w:rPr>
        <w:t xml:space="preserve">ينطبق هذا الملحق على جميع الأنظمة المحوسبة المستخدمة ضمن أنشطة خاضعة لـ </w:t>
      </w:r>
      <w:r>
        <w:rPr>
          <w:rFonts w:ascii="Arial" w:eastAsia="Arial" w:hAnsi="Arial"/>
          <w:color w:val="333333"/>
          <w:sz w:val="20"/>
          <w:szCs w:val="20"/>
        </w:rPr>
        <w:t>GMP</w:t>
      </w:r>
      <w:r>
        <w:rPr>
          <w:rFonts w:ascii="Arial" w:eastAsia="Arial" w:hAnsi="Arial"/>
          <w:color w:val="333333"/>
          <w:sz w:val="20"/>
          <w:szCs w:val="20"/>
          <w:rtl/>
        </w:rPr>
        <w:t>، سواء أكانت تتحكّم أو تراقِب أو تُسجّل أو تُبلِغ عن تصنيع المنتجات أو اختبارها أو تخزينها أو توزيعها أو الإفراج عنها. ويغطّي برمجيات التطبيق والبنية التحتية عبر دورة الحياة، ويدمج متطلبات سلامة البيانات (</w:t>
      </w:r>
      <w:r>
        <w:rPr>
          <w:rFonts w:ascii="Arial" w:eastAsia="Arial" w:hAnsi="Arial"/>
          <w:color w:val="333333"/>
          <w:sz w:val="20"/>
          <w:szCs w:val="20"/>
        </w:rPr>
        <w:t>ALCOA</w:t>
      </w:r>
      <w:r>
        <w:rPr>
          <w:rFonts w:ascii="Arial" w:eastAsia="Arial" w:hAnsi="Arial"/>
          <w:color w:val="333333"/>
          <w:sz w:val="20"/>
          <w:szCs w:val="20"/>
          <w:rtl/>
        </w:rPr>
        <w:t>+)، ولا يفرض تقنية أو مورّداً بعينه.</w:t>
      </w:r>
    </w:p>
    <w:p w14:paraId="2A553642" w14:textId="77777777" w:rsidR="00CD5946" w:rsidRDefault="00000000">
      <w:pPr>
        <w:spacing w:after="40" w:line="266" w:lineRule="auto"/>
        <w:ind w:left="300" w:hanging="300"/>
      </w:pPr>
      <w:r>
        <w:rPr>
          <w:rFonts w:ascii="Arial" w:eastAsia="Arial" w:hAnsi="Arial"/>
          <w:b/>
          <w:bCs/>
          <w:color w:val="15512F"/>
        </w:rPr>
        <w:t xml:space="preserve">Note.  </w:t>
      </w:r>
      <w:r>
        <w:rPr>
          <w:rFonts w:ascii="Arial" w:eastAsia="Arial" w:hAnsi="Arial"/>
          <w:color w:val="333333"/>
        </w:rPr>
        <w:t>Where a computerised system embeds artificial-intelligence or machine-learning models, the governance expectations of Arab Annex A-AI apply together with this Annex, anticipating the forthcoming Annex 22 (Artificial Intelligence).</w:t>
      </w:r>
    </w:p>
    <w:p w14:paraId="220F4D6E" w14:textId="77777777" w:rsidR="00CD5946" w:rsidRDefault="00000000">
      <w:pPr>
        <w:bidi/>
        <w:spacing w:after="150" w:line="300" w:lineRule="auto"/>
        <w:ind w:right="300" w:hanging="300"/>
        <w:jc w:val="right"/>
      </w:pPr>
      <w:r>
        <w:rPr>
          <w:rFonts w:ascii="Arial" w:eastAsia="Arial" w:hAnsi="Arial"/>
          <w:color w:val="333333"/>
          <w:sz w:val="20"/>
          <w:szCs w:val="20"/>
          <w:rtl/>
        </w:rPr>
        <w:lastRenderedPageBreak/>
        <w:t>ملاحظة: حيثما يتضمّن نظام محوسب نماذج للذكاء الاصطناعي أو تعلّم الآلة، تنطبق متطلّبات الحوكمة الواردة في الملحق العربي A-AI مع هذا الملحق، استباقاً للملحق 22 المرتقب (الذكاء الاصطناعي).</w:t>
      </w:r>
    </w:p>
    <w:p w14:paraId="401A4B6E" w14:textId="77777777" w:rsidR="00CD5946" w:rsidRDefault="00000000">
      <w:pPr>
        <w:pStyle w:val="Heading2"/>
        <w:spacing w:before="220"/>
      </w:pPr>
      <w:bookmarkStart w:id="179" w:name="__RefHeading___Toc9515_1729075678"/>
      <w:bookmarkEnd w:id="179"/>
      <w:r>
        <w:t>1.  Risk management</w:t>
      </w:r>
      <w:r>
        <w:rPr>
          <w:b w:val="0"/>
          <w:bCs w:val="0"/>
          <w:color w:val="1A1A1A"/>
          <w:sz w:val="21"/>
          <w:szCs w:val="21"/>
        </w:rPr>
        <w:t xml:space="preserve">   </w:t>
      </w:r>
      <w:r>
        <w:rPr>
          <w:color w:val="C8A24B"/>
          <w:sz w:val="20"/>
          <w:szCs w:val="20"/>
          <w:rtl/>
        </w:rPr>
        <w:t>إدارة المخاطر</w:t>
      </w:r>
    </w:p>
    <w:p w14:paraId="4BCC85F7" w14:textId="77777777" w:rsidR="00CD5946" w:rsidRDefault="00000000">
      <w:pPr>
        <w:spacing w:after="40" w:line="266" w:lineRule="auto"/>
        <w:ind w:left="300" w:hanging="300"/>
      </w:pPr>
      <w:r>
        <w:rPr>
          <w:rFonts w:ascii="Arial" w:eastAsia="Arial" w:hAnsi="Arial"/>
          <w:b/>
          <w:bCs/>
          <w:color w:val="15512F"/>
        </w:rPr>
        <w:t xml:space="preserve">1.1  </w:t>
      </w:r>
      <w:r>
        <w:rPr>
          <w:rFonts w:ascii="Arial" w:eastAsia="Arial" w:hAnsi="Arial"/>
          <w:color w:val="1A1A1A"/>
        </w:rPr>
        <w:t>Risk management shall be applied throughout the lifecycle of the computerised system, taking into account patient safety, data integrity and product quality. As part of a risk-management system, decisions on the extent of validation and on data-integrity controls shall be based on a justified and documented risk assessment of the system. The criticality of the system and of the data it holds shall drive the rigour of the controls.</w:t>
      </w:r>
    </w:p>
    <w:p w14:paraId="003C27C1" w14:textId="77777777" w:rsidR="00CD5946" w:rsidRDefault="00000000">
      <w:pPr>
        <w:bidi/>
        <w:spacing w:after="150" w:line="300" w:lineRule="auto"/>
        <w:ind w:right="300" w:hanging="300"/>
        <w:jc w:val="right"/>
      </w:pPr>
      <w:r>
        <w:rPr>
          <w:rFonts w:ascii="Arial" w:eastAsia="Arial" w:hAnsi="Arial"/>
          <w:color w:val="333333"/>
          <w:sz w:val="20"/>
          <w:szCs w:val="20"/>
          <w:rtl/>
        </w:rPr>
        <w:t>تُطبّق إدارة المخاطر طوال دورة حياة النظام المحوسب مع مراعاة سلامة المريض وسلامة البيانات وجودة المنتج. ويستند مدى التحقّق وضوابط سلامة البيانات إلى تقييم مخاطر موثّق ومُبرّر للنظام. وتُحدّد حرجيّة النظام والبيانات صرامة الضوابط.</w:t>
      </w:r>
      <w:r>
        <w:rPr>
          <w:rFonts w:ascii="Arial" w:eastAsia="Arial" w:hAnsi="Arial"/>
          <w:b/>
          <w:bCs/>
          <w:color w:val="15512F"/>
          <w:sz w:val="20"/>
          <w:szCs w:val="20"/>
          <w:rtl/>
        </w:rPr>
        <w:t xml:space="preserve">  ⁦</w:t>
      </w:r>
      <w:r>
        <w:rPr>
          <w:rFonts w:ascii="Arial" w:eastAsia="Arial" w:hAnsi="Arial"/>
          <w:b/>
          <w:bCs/>
          <w:color w:val="15512F"/>
          <w:sz w:val="20"/>
          <w:szCs w:val="20"/>
        </w:rPr>
        <w:t>1.1</w:t>
      </w:r>
      <w:r>
        <w:rPr>
          <w:rFonts w:ascii="Arial" w:eastAsia="Arial" w:hAnsi="Arial"/>
          <w:b/>
          <w:bCs/>
          <w:color w:val="15512F"/>
          <w:sz w:val="20"/>
          <w:szCs w:val="20"/>
          <w:rtl/>
        </w:rPr>
        <w:t>⁩</w:t>
      </w:r>
    </w:p>
    <w:p w14:paraId="1ECDD47B" w14:textId="77777777" w:rsidR="00CD5946" w:rsidRDefault="00000000">
      <w:pPr>
        <w:pStyle w:val="Heading2"/>
        <w:spacing w:before="220"/>
      </w:pPr>
      <w:bookmarkStart w:id="180" w:name="__RefHeading___Toc9517_1729075678"/>
      <w:bookmarkEnd w:id="180"/>
      <w:r>
        <w:t>2.  Personnel</w:t>
      </w:r>
      <w:r>
        <w:rPr>
          <w:b w:val="0"/>
          <w:bCs w:val="0"/>
          <w:color w:val="1A1A1A"/>
          <w:sz w:val="21"/>
          <w:szCs w:val="21"/>
        </w:rPr>
        <w:t xml:space="preserve">   </w:t>
      </w:r>
      <w:r>
        <w:rPr>
          <w:color w:val="C8A24B"/>
          <w:sz w:val="20"/>
          <w:szCs w:val="20"/>
          <w:rtl/>
        </w:rPr>
        <w:t>الأفراد</w:t>
      </w:r>
    </w:p>
    <w:p w14:paraId="595D4375" w14:textId="77777777" w:rsidR="00CD5946" w:rsidRDefault="00000000">
      <w:pPr>
        <w:spacing w:after="40" w:line="266" w:lineRule="auto"/>
        <w:ind w:left="300" w:hanging="300"/>
      </w:pPr>
      <w:r>
        <w:rPr>
          <w:rFonts w:ascii="Arial" w:eastAsia="Arial" w:hAnsi="Arial"/>
          <w:b/>
          <w:bCs/>
          <w:color w:val="15512F"/>
        </w:rPr>
        <w:t xml:space="preserve">2.1  </w:t>
      </w:r>
      <w:r>
        <w:rPr>
          <w:rFonts w:ascii="Arial" w:eastAsia="Arial" w:hAnsi="Arial"/>
          <w:color w:val="1A1A1A"/>
        </w:rPr>
        <w:t>There shall be close cooperation between all relevant personnel such as the process owner, the system owner, qualified persons and IT. All personnel shall have appropriate qualifications, levels of access and defined responsibilities to carry out their assigned duties, and shall be trained in the use and management of the system commensurate with their role.</w:t>
      </w:r>
    </w:p>
    <w:p w14:paraId="69F1C062" w14:textId="77777777" w:rsidR="00CD5946" w:rsidRDefault="00000000">
      <w:pPr>
        <w:bidi/>
        <w:spacing w:after="150" w:line="300" w:lineRule="auto"/>
        <w:ind w:right="300" w:hanging="300"/>
        <w:jc w:val="right"/>
      </w:pPr>
      <w:r>
        <w:rPr>
          <w:rFonts w:ascii="Arial" w:eastAsia="Arial" w:hAnsi="Arial"/>
          <w:color w:val="333333"/>
          <w:sz w:val="20"/>
          <w:szCs w:val="20"/>
          <w:rtl/>
        </w:rPr>
        <w:t>يجب وجود تعاون وثيق بين جميع الأفراد المعنيين كمالك العملية ومالك النظام والأشخاص المؤهّلين وتقنية المعلومات. ويتمتّع جميع الأفراد بمؤهّلات ومستويات وصول ومسؤوليات محدّدة، ويُدرّبون على استخدام النظام وإدارته بما يتناسب مع أدوارهم.</w:t>
      </w:r>
      <w:r>
        <w:rPr>
          <w:rFonts w:ascii="Arial" w:eastAsia="Arial" w:hAnsi="Arial"/>
          <w:b/>
          <w:bCs/>
          <w:color w:val="15512F"/>
          <w:sz w:val="20"/>
          <w:szCs w:val="20"/>
          <w:rtl/>
        </w:rPr>
        <w:t xml:space="preserve">  ⁦</w:t>
      </w:r>
      <w:r>
        <w:rPr>
          <w:rFonts w:ascii="Arial" w:eastAsia="Arial" w:hAnsi="Arial"/>
          <w:b/>
          <w:bCs/>
          <w:color w:val="15512F"/>
          <w:sz w:val="20"/>
          <w:szCs w:val="20"/>
        </w:rPr>
        <w:t>2.1</w:t>
      </w:r>
      <w:r>
        <w:rPr>
          <w:rFonts w:ascii="Arial" w:eastAsia="Arial" w:hAnsi="Arial"/>
          <w:b/>
          <w:bCs/>
          <w:color w:val="15512F"/>
          <w:sz w:val="20"/>
          <w:szCs w:val="20"/>
          <w:rtl/>
        </w:rPr>
        <w:t>⁩</w:t>
      </w:r>
    </w:p>
    <w:p w14:paraId="7A6E6A7B" w14:textId="77777777" w:rsidR="00CD5946" w:rsidRDefault="00000000">
      <w:pPr>
        <w:pStyle w:val="Heading2"/>
        <w:spacing w:before="220"/>
      </w:pPr>
      <w:bookmarkStart w:id="181" w:name="__RefHeading___Toc9519_1729075678"/>
      <w:bookmarkEnd w:id="181"/>
      <w:r>
        <w:t>3.  Suppliers and service providers</w:t>
      </w:r>
      <w:r>
        <w:rPr>
          <w:b w:val="0"/>
          <w:bCs w:val="0"/>
          <w:color w:val="1A1A1A"/>
          <w:sz w:val="21"/>
          <w:szCs w:val="21"/>
        </w:rPr>
        <w:t xml:space="preserve">   </w:t>
      </w:r>
      <w:r>
        <w:rPr>
          <w:color w:val="C8A24B"/>
          <w:sz w:val="20"/>
          <w:szCs w:val="20"/>
          <w:rtl/>
        </w:rPr>
        <w:t>المورّدون ومقدّمو الخدمة</w:t>
      </w:r>
    </w:p>
    <w:p w14:paraId="78F7ECB0" w14:textId="77777777" w:rsidR="00CD5946" w:rsidRDefault="00000000">
      <w:pPr>
        <w:spacing w:after="40" w:line="266" w:lineRule="auto"/>
        <w:ind w:left="300" w:hanging="300"/>
      </w:pPr>
      <w:r>
        <w:rPr>
          <w:rFonts w:ascii="Arial" w:eastAsia="Arial" w:hAnsi="Arial"/>
          <w:b/>
          <w:bCs/>
          <w:color w:val="15512F"/>
        </w:rPr>
        <w:t xml:space="preserve">3.1  </w:t>
      </w:r>
      <w:r>
        <w:rPr>
          <w:rFonts w:ascii="Arial" w:eastAsia="Arial" w:hAnsi="Arial"/>
          <w:color w:val="1A1A1A"/>
        </w:rPr>
        <w:t>When third parties (for example suppliers, service providers) are used to provide, install, configure, integrate, validate, maintain, modify or retain a computerised system, or for data processing, formal agreements shall be in place that include clear statements of responsibilities. The competence and reliability of a supplier are key factors when selecting a product or service provider, and the need for an audit shall be based on risk.</w:t>
      </w:r>
    </w:p>
    <w:p w14:paraId="5A400D74" w14:textId="77777777" w:rsidR="00CD5946" w:rsidRDefault="00000000">
      <w:pPr>
        <w:bidi/>
        <w:spacing w:after="150" w:line="300" w:lineRule="auto"/>
        <w:ind w:right="300" w:hanging="300"/>
        <w:jc w:val="right"/>
      </w:pPr>
      <w:r>
        <w:rPr>
          <w:rFonts w:ascii="Arial" w:eastAsia="Arial" w:hAnsi="Arial"/>
          <w:color w:val="333333"/>
          <w:sz w:val="20"/>
          <w:szCs w:val="20"/>
          <w:rtl/>
        </w:rPr>
        <w:t>عند الاستعانة بأطراف ثالثة (كالمورّدين ومقدّمي الخدمة) لتوفير أو تركيب أو تهيئة أو دمج أو تحقّق أو صيانة أو تعديل نظام محوسب، تُوضع اتفاقات رسمية تتضمّن مسؤوليات واضحة. وتُعدّ كفاءة المورّد وموثوقيته عاملين رئيسيين عند الاختيار، وتُبنى الحاجة إلى التدقيق على المخاطر.</w:t>
      </w:r>
      <w:r>
        <w:rPr>
          <w:rFonts w:ascii="Arial" w:eastAsia="Arial" w:hAnsi="Arial"/>
          <w:b/>
          <w:bCs/>
          <w:color w:val="15512F"/>
          <w:sz w:val="20"/>
          <w:szCs w:val="20"/>
          <w:rtl/>
        </w:rPr>
        <w:t xml:space="preserve">  ⁦</w:t>
      </w:r>
      <w:r>
        <w:rPr>
          <w:rFonts w:ascii="Arial" w:eastAsia="Arial" w:hAnsi="Arial"/>
          <w:b/>
          <w:bCs/>
          <w:color w:val="15512F"/>
          <w:sz w:val="20"/>
          <w:szCs w:val="20"/>
        </w:rPr>
        <w:t>3.1</w:t>
      </w:r>
      <w:r>
        <w:rPr>
          <w:rFonts w:ascii="Arial" w:eastAsia="Arial" w:hAnsi="Arial"/>
          <w:b/>
          <w:bCs/>
          <w:color w:val="15512F"/>
          <w:sz w:val="20"/>
          <w:szCs w:val="20"/>
          <w:rtl/>
        </w:rPr>
        <w:t>⁩</w:t>
      </w:r>
    </w:p>
    <w:p w14:paraId="6650FC2C" w14:textId="77777777" w:rsidR="00CD5946" w:rsidRDefault="00000000">
      <w:pPr>
        <w:spacing w:after="40" w:line="266" w:lineRule="auto"/>
        <w:ind w:left="300" w:hanging="300"/>
      </w:pPr>
      <w:r>
        <w:rPr>
          <w:rFonts w:ascii="Arial" w:eastAsia="Arial" w:hAnsi="Arial"/>
          <w:b/>
          <w:bCs/>
          <w:color w:val="15512F"/>
        </w:rPr>
        <w:t xml:space="preserve">3.2  </w:t>
      </w:r>
      <w:r>
        <w:rPr>
          <w:rFonts w:ascii="Arial" w:eastAsia="Arial" w:hAnsi="Arial"/>
          <w:color w:val="1A1A1A"/>
        </w:rPr>
        <w:t>Documentation supplied with commercial off-the-shelf products shall be reviewed by the regulated user to verify that the requirements are met. Quality-system and audit information relating to suppliers or developers of software and implemented systems shall be made available to inspectors on request.</w:t>
      </w:r>
    </w:p>
    <w:p w14:paraId="4BE70671" w14:textId="77777777" w:rsidR="00CD5946" w:rsidRDefault="00000000">
      <w:pPr>
        <w:bidi/>
        <w:spacing w:after="150" w:line="300" w:lineRule="auto"/>
        <w:ind w:right="300" w:hanging="300"/>
        <w:jc w:val="right"/>
      </w:pPr>
      <w:r>
        <w:rPr>
          <w:rFonts w:ascii="Arial" w:eastAsia="Arial" w:hAnsi="Arial"/>
          <w:color w:val="333333"/>
          <w:sz w:val="20"/>
          <w:szCs w:val="20"/>
          <w:rtl/>
        </w:rPr>
        <w:t>تُراجِع الجهة المنظّمة الوثائق المُرفقة بالمنتجات التجارية الجاهزة للتحقّق من استيفاء المتطلبات. وتُتاح للمفتّشين عند الطلب معلومات نظام الجودة والتدقيق المتعلّقة بمورّدي أو مطوّري البرمجيات والأنظمة.</w:t>
      </w:r>
      <w:r>
        <w:rPr>
          <w:rFonts w:ascii="Arial" w:eastAsia="Arial" w:hAnsi="Arial"/>
          <w:b/>
          <w:bCs/>
          <w:color w:val="15512F"/>
          <w:sz w:val="20"/>
          <w:szCs w:val="20"/>
          <w:rtl/>
        </w:rPr>
        <w:t xml:space="preserve">  ⁦</w:t>
      </w:r>
      <w:r>
        <w:rPr>
          <w:rFonts w:ascii="Arial" w:eastAsia="Arial" w:hAnsi="Arial"/>
          <w:b/>
          <w:bCs/>
          <w:color w:val="15512F"/>
          <w:sz w:val="20"/>
          <w:szCs w:val="20"/>
        </w:rPr>
        <w:t>3.2</w:t>
      </w:r>
      <w:r>
        <w:rPr>
          <w:rFonts w:ascii="Arial" w:eastAsia="Arial" w:hAnsi="Arial"/>
          <w:b/>
          <w:bCs/>
          <w:color w:val="15512F"/>
          <w:sz w:val="20"/>
          <w:szCs w:val="20"/>
          <w:rtl/>
        </w:rPr>
        <w:t>⁩</w:t>
      </w:r>
    </w:p>
    <w:p w14:paraId="78EEEA73" w14:textId="77777777" w:rsidR="00CD5946" w:rsidRDefault="00000000">
      <w:pPr>
        <w:pStyle w:val="Heading2"/>
        <w:spacing w:before="220"/>
      </w:pPr>
      <w:bookmarkStart w:id="182" w:name="__RefHeading___Toc9521_1729075678"/>
      <w:bookmarkEnd w:id="182"/>
      <w:r>
        <w:t>4.  Validation</w:t>
      </w:r>
      <w:r>
        <w:rPr>
          <w:b w:val="0"/>
          <w:bCs w:val="0"/>
          <w:color w:val="1A1A1A"/>
          <w:sz w:val="21"/>
          <w:szCs w:val="21"/>
        </w:rPr>
        <w:t xml:space="preserve">   </w:t>
      </w:r>
      <w:r>
        <w:rPr>
          <w:color w:val="C8A24B"/>
          <w:sz w:val="20"/>
          <w:szCs w:val="20"/>
          <w:rtl/>
        </w:rPr>
        <w:t>التحقّق</w:t>
      </w:r>
    </w:p>
    <w:p w14:paraId="00A52FF9" w14:textId="77777777" w:rsidR="00CD5946" w:rsidRDefault="00000000">
      <w:pPr>
        <w:spacing w:after="40" w:line="266" w:lineRule="auto"/>
        <w:ind w:left="300" w:hanging="300"/>
      </w:pPr>
      <w:r>
        <w:rPr>
          <w:rFonts w:ascii="Arial" w:eastAsia="Arial" w:hAnsi="Arial"/>
          <w:b/>
          <w:bCs/>
          <w:color w:val="15512F"/>
        </w:rPr>
        <w:t xml:space="preserve">4.1  </w:t>
      </w:r>
      <w:r>
        <w:rPr>
          <w:rFonts w:ascii="Arial" w:eastAsia="Arial" w:hAnsi="Arial"/>
          <w:color w:val="1A1A1A"/>
        </w:rPr>
        <w:t>The validation documentation and reports shall cover the relevant steps of the lifecycle. Manufacturers shall be able to justify their standards, protocols, acceptance criteria, procedures and records based on their risk assessment. Validation shall be conducted in accordance with a documented approach (for example the GAMP 5 lifecycle model), scaled to the category and criticality of the software, and shall maintain an up-to-date inventory of all relevant systems and their GMP functionality.</w:t>
      </w:r>
    </w:p>
    <w:p w14:paraId="5C2E100A"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تغطّي وثائق التحقّق وتقاريره خطوات دورة الحياة ذات الصلة. ويجب أن يُبرّر المصنّعون معاييرهم وبروتوكولاتهم وسجلاتهم بناءً على تقييم المخاطر. ويُجرى التحقّق وفق نهج موثّق (كنموذج دورة حياة </w:t>
      </w:r>
      <w:r>
        <w:rPr>
          <w:rFonts w:ascii="Arial" w:eastAsia="Arial" w:hAnsi="Arial"/>
          <w:color w:val="333333"/>
          <w:sz w:val="20"/>
          <w:szCs w:val="20"/>
        </w:rPr>
        <w:t>GAMP</w:t>
      </w:r>
      <w:r>
        <w:rPr>
          <w:rFonts w:ascii="Arial" w:eastAsia="Arial" w:hAnsi="Arial"/>
          <w:color w:val="333333"/>
          <w:sz w:val="20"/>
          <w:szCs w:val="20"/>
          <w:rtl/>
        </w:rPr>
        <w:t xml:space="preserve"> ⁦</w:t>
      </w:r>
      <w:r>
        <w:rPr>
          <w:rFonts w:ascii="Arial" w:eastAsia="Arial" w:hAnsi="Arial"/>
          <w:color w:val="333333"/>
          <w:sz w:val="20"/>
          <w:szCs w:val="20"/>
        </w:rPr>
        <w:t>5</w:t>
      </w:r>
      <w:r>
        <w:rPr>
          <w:rFonts w:ascii="Arial" w:eastAsia="Arial" w:hAnsi="Arial"/>
          <w:color w:val="333333"/>
          <w:sz w:val="20"/>
          <w:szCs w:val="20"/>
          <w:rtl/>
        </w:rPr>
        <w:t>⁩) متناسباً مع فئة البرمجيات وحرجيتها، مع جرد محدّث لجميع الأنظمة ووظائفها.</w:t>
      </w:r>
      <w:r>
        <w:rPr>
          <w:rFonts w:ascii="Arial" w:eastAsia="Arial" w:hAnsi="Arial"/>
          <w:b/>
          <w:bCs/>
          <w:color w:val="15512F"/>
          <w:sz w:val="20"/>
          <w:szCs w:val="20"/>
          <w:rtl/>
        </w:rPr>
        <w:t xml:space="preserve">  ⁦</w:t>
      </w:r>
      <w:r>
        <w:rPr>
          <w:rFonts w:ascii="Arial" w:eastAsia="Arial" w:hAnsi="Arial"/>
          <w:b/>
          <w:bCs/>
          <w:color w:val="15512F"/>
          <w:sz w:val="20"/>
          <w:szCs w:val="20"/>
        </w:rPr>
        <w:t>4.1</w:t>
      </w:r>
      <w:r>
        <w:rPr>
          <w:rFonts w:ascii="Arial" w:eastAsia="Arial" w:hAnsi="Arial"/>
          <w:b/>
          <w:bCs/>
          <w:color w:val="15512F"/>
          <w:sz w:val="20"/>
          <w:szCs w:val="20"/>
          <w:rtl/>
        </w:rPr>
        <w:t>⁩</w:t>
      </w:r>
    </w:p>
    <w:p w14:paraId="6E2A2C65" w14:textId="77777777" w:rsidR="00CD5946" w:rsidRDefault="00000000">
      <w:pPr>
        <w:spacing w:after="40" w:line="266" w:lineRule="auto"/>
        <w:ind w:left="300" w:hanging="300"/>
      </w:pPr>
      <w:r>
        <w:rPr>
          <w:rFonts w:ascii="Arial" w:eastAsia="Arial" w:hAnsi="Arial"/>
          <w:b/>
          <w:bCs/>
          <w:color w:val="15512F"/>
        </w:rPr>
        <w:lastRenderedPageBreak/>
        <w:t xml:space="preserve">4.2  </w:t>
      </w:r>
      <w:r>
        <w:rPr>
          <w:rFonts w:ascii="Arial" w:eastAsia="Arial" w:hAnsi="Arial"/>
          <w:color w:val="1A1A1A"/>
        </w:rPr>
        <w:t>User requirements specifications shall describe the required functions of the computerised system and be based on documented risk assessment and GMP impact. They shall be traceable throughout the lifecycle. For the validation of bespoke or customised systems there shall be a process in place that assures the formal assessment and reporting of quality and performance measures for all the lifecycle stages of the system. Evidence of appropriate test methods and test scenarios, including system parameter limits, data limits and error handling, shall be retained.</w:t>
      </w:r>
    </w:p>
    <w:p w14:paraId="62F5FF0C"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تصف مواصفات احتياجات المستخدم وظائف النظام المطلوبة وتستند إلى تقييم مخاطر موثّق وأثر </w:t>
      </w:r>
      <w:r>
        <w:rPr>
          <w:rFonts w:ascii="Arial" w:eastAsia="Arial" w:hAnsi="Arial"/>
          <w:color w:val="333333"/>
          <w:sz w:val="20"/>
          <w:szCs w:val="20"/>
        </w:rPr>
        <w:t>GMP</w:t>
      </w:r>
      <w:r>
        <w:rPr>
          <w:rFonts w:ascii="Arial" w:eastAsia="Arial" w:hAnsi="Arial"/>
          <w:color w:val="333333"/>
          <w:sz w:val="20"/>
          <w:szCs w:val="20"/>
          <w:rtl/>
        </w:rPr>
        <w:t>، وتكون قابلة للتتبّع طوال دورة الحياة. ولتحقّق الأنظمة المخصّصة تُوجَد عملية تضمن التقييم والتقرير الرسميين لمقاييس الجودة والأداء في كل المراحل، ويُحتفَظ بأدلة طرائق وسيناريوهات الاختبار بما فيها حدود المتغيّرات والبيانات ومعالجة الأخطاء.</w:t>
      </w:r>
      <w:r>
        <w:rPr>
          <w:rFonts w:ascii="Arial" w:eastAsia="Arial" w:hAnsi="Arial"/>
          <w:b/>
          <w:bCs/>
          <w:color w:val="15512F"/>
          <w:sz w:val="20"/>
          <w:szCs w:val="20"/>
          <w:rtl/>
        </w:rPr>
        <w:t xml:space="preserve">  ⁦</w:t>
      </w:r>
      <w:r>
        <w:rPr>
          <w:rFonts w:ascii="Arial" w:eastAsia="Arial" w:hAnsi="Arial"/>
          <w:b/>
          <w:bCs/>
          <w:color w:val="15512F"/>
          <w:sz w:val="20"/>
          <w:szCs w:val="20"/>
        </w:rPr>
        <w:t>4.2</w:t>
      </w:r>
      <w:r>
        <w:rPr>
          <w:rFonts w:ascii="Arial" w:eastAsia="Arial" w:hAnsi="Arial"/>
          <w:b/>
          <w:bCs/>
          <w:color w:val="15512F"/>
          <w:sz w:val="20"/>
          <w:szCs w:val="20"/>
          <w:rtl/>
        </w:rPr>
        <w:t>⁩</w:t>
      </w:r>
    </w:p>
    <w:p w14:paraId="12465FFB" w14:textId="77777777" w:rsidR="00CD5946" w:rsidRDefault="00000000">
      <w:pP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Example — scaling validation effort: under the GAMP 5 software categories, standard infrastructure software (Category 1) and non-configured commercial products (Category 3) attract less validation effort than configured products (Category 4) and bespoke/custom applications (Category 5). The category is a starting point for, not a substitute for, the documented risk assessment.</w:t>
      </w:r>
    </w:p>
    <w:p w14:paraId="30DCD3E3" w14:textId="77777777" w:rsidR="00CD5946" w:rsidRDefault="00000000">
      <w:pPr>
        <w:bidi/>
        <w:spacing w:after="140"/>
        <w:ind w:right="300"/>
        <w:jc w:val="right"/>
      </w:pPr>
      <w:r>
        <w:rPr>
          <w:rFonts w:ascii="Arial" w:eastAsia="Arial" w:hAnsi="Arial"/>
          <w:color w:val="5A5A5A"/>
          <w:sz w:val="18"/>
          <w:szCs w:val="18"/>
          <w:rtl/>
        </w:rPr>
        <w:t xml:space="preserve">مثال — تدرّج جهد التحقّق: وفق فئات </w:t>
      </w:r>
      <w:r>
        <w:rPr>
          <w:rFonts w:ascii="Arial" w:eastAsia="Arial" w:hAnsi="Arial"/>
          <w:color w:val="5A5A5A"/>
          <w:sz w:val="18"/>
          <w:szCs w:val="18"/>
        </w:rPr>
        <w:t>GAMP</w:t>
      </w:r>
      <w:r>
        <w:rPr>
          <w:rFonts w:ascii="Arial" w:eastAsia="Arial" w:hAnsi="Arial"/>
          <w:color w:val="5A5A5A"/>
          <w:sz w:val="18"/>
          <w:szCs w:val="18"/>
          <w:rtl/>
        </w:rPr>
        <w:t xml:space="preserve"> ⁦</w:t>
      </w:r>
      <w:r>
        <w:rPr>
          <w:rFonts w:ascii="Arial" w:eastAsia="Arial" w:hAnsi="Arial"/>
          <w:color w:val="5A5A5A"/>
          <w:sz w:val="18"/>
          <w:szCs w:val="18"/>
        </w:rPr>
        <w:t>5</w:t>
      </w:r>
      <w:r>
        <w:rPr>
          <w:rFonts w:ascii="Arial" w:eastAsia="Arial" w:hAnsi="Arial"/>
          <w:color w:val="5A5A5A"/>
          <w:sz w:val="18"/>
          <w:szCs w:val="18"/>
          <w:rtl/>
        </w:rPr>
        <w:t>⁩، تتطلّب برمجيات البنية القياسية (الفئة ⁦</w:t>
      </w:r>
      <w:r>
        <w:rPr>
          <w:rFonts w:ascii="Arial" w:eastAsia="Arial" w:hAnsi="Arial"/>
          <w:color w:val="5A5A5A"/>
          <w:sz w:val="18"/>
          <w:szCs w:val="18"/>
        </w:rPr>
        <w:t>1</w:t>
      </w:r>
      <w:r>
        <w:rPr>
          <w:rFonts w:ascii="Arial" w:eastAsia="Arial" w:hAnsi="Arial"/>
          <w:color w:val="5A5A5A"/>
          <w:sz w:val="18"/>
          <w:szCs w:val="18"/>
          <w:rtl/>
        </w:rPr>
        <w:t>⁩) والمنتجات التجارية غير المُهيأة (الفئة ⁦</w:t>
      </w:r>
      <w:r>
        <w:rPr>
          <w:rFonts w:ascii="Arial" w:eastAsia="Arial" w:hAnsi="Arial"/>
          <w:color w:val="5A5A5A"/>
          <w:sz w:val="18"/>
          <w:szCs w:val="18"/>
        </w:rPr>
        <w:t>3</w:t>
      </w:r>
      <w:r>
        <w:rPr>
          <w:rFonts w:ascii="Arial" w:eastAsia="Arial" w:hAnsi="Arial"/>
          <w:color w:val="5A5A5A"/>
          <w:sz w:val="18"/>
          <w:szCs w:val="18"/>
          <w:rtl/>
        </w:rPr>
        <w:t>⁩) جهداً أقلّ من المنتجات المُهيأة (الفئة ⁦</w:t>
      </w:r>
      <w:r>
        <w:rPr>
          <w:rFonts w:ascii="Arial" w:eastAsia="Arial" w:hAnsi="Arial"/>
          <w:color w:val="5A5A5A"/>
          <w:sz w:val="18"/>
          <w:szCs w:val="18"/>
        </w:rPr>
        <w:t>4</w:t>
      </w:r>
      <w:r>
        <w:rPr>
          <w:rFonts w:ascii="Arial" w:eastAsia="Arial" w:hAnsi="Arial"/>
          <w:color w:val="5A5A5A"/>
          <w:sz w:val="18"/>
          <w:szCs w:val="18"/>
          <w:rtl/>
        </w:rPr>
        <w:t>⁩) والتطبيقات المخصّصة (الفئة ⁦</w:t>
      </w:r>
      <w:r>
        <w:rPr>
          <w:rFonts w:ascii="Arial" w:eastAsia="Arial" w:hAnsi="Arial"/>
          <w:color w:val="5A5A5A"/>
          <w:sz w:val="18"/>
          <w:szCs w:val="18"/>
        </w:rPr>
        <w:t>5</w:t>
      </w:r>
      <w:r>
        <w:rPr>
          <w:rFonts w:ascii="Arial" w:eastAsia="Arial" w:hAnsi="Arial"/>
          <w:color w:val="5A5A5A"/>
          <w:sz w:val="18"/>
          <w:szCs w:val="18"/>
          <w:rtl/>
        </w:rPr>
        <w:t>⁩). والفئة نقطة بداية لا بديل عن تقييم المخاطر الموثّق.</w:t>
      </w:r>
      <w:r>
        <w:rPr>
          <w:rFonts w:ascii="Arial" w:eastAsia="Arial" w:hAnsi="Arial"/>
          <w:b/>
          <w:bCs/>
          <w:color w:val="5A5A5A"/>
          <w:sz w:val="18"/>
          <w:szCs w:val="18"/>
          <w:rtl/>
        </w:rPr>
        <w:t xml:space="preserve">  ملاحظة.</w:t>
      </w:r>
    </w:p>
    <w:p w14:paraId="22B96BAE" w14:textId="77777777" w:rsidR="00CD5946" w:rsidRDefault="00000000">
      <w:pPr>
        <w:pStyle w:val="Heading2"/>
        <w:spacing w:before="220"/>
      </w:pPr>
      <w:bookmarkStart w:id="183" w:name="__RefHeading___Toc9523_1729075678"/>
      <w:bookmarkEnd w:id="183"/>
      <w:r>
        <w:t>5.  Data and accuracy</w:t>
      </w:r>
      <w:r>
        <w:rPr>
          <w:b w:val="0"/>
          <w:bCs w:val="0"/>
          <w:color w:val="1A1A1A"/>
          <w:sz w:val="21"/>
          <w:szCs w:val="21"/>
        </w:rPr>
        <w:t xml:space="preserve">   </w:t>
      </w:r>
      <w:r>
        <w:rPr>
          <w:color w:val="C8A24B"/>
          <w:sz w:val="20"/>
          <w:szCs w:val="20"/>
          <w:rtl/>
        </w:rPr>
        <w:t>البيانات والدقّة</w:t>
      </w:r>
    </w:p>
    <w:p w14:paraId="3E64BF3D" w14:textId="77777777" w:rsidR="00CD5946" w:rsidRDefault="00000000">
      <w:pPr>
        <w:spacing w:after="40" w:line="266" w:lineRule="auto"/>
        <w:ind w:left="300" w:hanging="300"/>
      </w:pPr>
      <w:r>
        <w:rPr>
          <w:rFonts w:ascii="Arial" w:eastAsia="Arial" w:hAnsi="Arial"/>
          <w:b/>
          <w:bCs/>
          <w:color w:val="15512F"/>
        </w:rPr>
        <w:t xml:space="preserve">5.1  </w:t>
      </w:r>
      <w:r>
        <w:rPr>
          <w:rFonts w:ascii="Arial" w:eastAsia="Arial" w:hAnsi="Arial"/>
          <w:color w:val="1A1A1A"/>
        </w:rPr>
        <w:t>Computerised systems exchanging data electronically with other systems shall include appropriate built-in checks for the correct and secure entry and processing of data, in order to minimise the risks. Data shall meet the ALCOA+ attributes — attributable, legible, contemporaneous, original, accurate, and also complete, consistent, enduring and available — throughout the data lifecycle.</w:t>
      </w:r>
    </w:p>
    <w:p w14:paraId="3A095683"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تتضمّن الأنظمة المتبادلة للبيانات إلكترونيّاً فحوصاً مدمجة لإدخال ومعالجة البيانات بشكل صحيح وآمن لتقليل المخاطر. وتستوفي البيانات سمات </w:t>
      </w:r>
      <w:r>
        <w:rPr>
          <w:rFonts w:ascii="Arial" w:eastAsia="Arial" w:hAnsi="Arial"/>
          <w:color w:val="333333"/>
          <w:sz w:val="20"/>
          <w:szCs w:val="20"/>
        </w:rPr>
        <w:t>ALCOA</w:t>
      </w:r>
      <w:r>
        <w:rPr>
          <w:rFonts w:ascii="Arial" w:eastAsia="Arial" w:hAnsi="Arial"/>
          <w:color w:val="333333"/>
          <w:sz w:val="20"/>
          <w:szCs w:val="20"/>
          <w:rtl/>
        </w:rPr>
        <w:t>+ — منسوبة، مقروءة، آنية، أصلية، دقيقة، وكذلك كاملة ومتسقة ودائمة ومتاحة — طوال دورة حياة البيانات.</w:t>
      </w:r>
      <w:r>
        <w:rPr>
          <w:rFonts w:ascii="Arial" w:eastAsia="Arial" w:hAnsi="Arial"/>
          <w:b/>
          <w:bCs/>
          <w:color w:val="15512F"/>
          <w:sz w:val="20"/>
          <w:szCs w:val="20"/>
          <w:rtl/>
        </w:rPr>
        <w:t xml:space="preserve">  ⁦</w:t>
      </w:r>
      <w:r>
        <w:rPr>
          <w:rFonts w:ascii="Arial" w:eastAsia="Arial" w:hAnsi="Arial"/>
          <w:b/>
          <w:bCs/>
          <w:color w:val="15512F"/>
          <w:sz w:val="20"/>
          <w:szCs w:val="20"/>
        </w:rPr>
        <w:t>5.1</w:t>
      </w:r>
      <w:r>
        <w:rPr>
          <w:rFonts w:ascii="Arial" w:eastAsia="Arial" w:hAnsi="Arial"/>
          <w:b/>
          <w:bCs/>
          <w:color w:val="15512F"/>
          <w:sz w:val="20"/>
          <w:szCs w:val="20"/>
          <w:rtl/>
        </w:rPr>
        <w:t>⁩</w:t>
      </w:r>
    </w:p>
    <w:p w14:paraId="1348A0C8" w14:textId="77777777" w:rsidR="00CD5946" w:rsidRDefault="00000000">
      <w:pPr>
        <w:spacing w:after="40" w:line="266" w:lineRule="auto"/>
        <w:ind w:left="300" w:hanging="300"/>
      </w:pPr>
      <w:r>
        <w:rPr>
          <w:rFonts w:ascii="Arial" w:eastAsia="Arial" w:hAnsi="Arial"/>
          <w:b/>
          <w:bCs/>
          <w:color w:val="15512F"/>
        </w:rPr>
        <w:t xml:space="preserve">5.2  </w:t>
      </w:r>
      <w:r>
        <w:rPr>
          <w:rFonts w:ascii="Arial" w:eastAsia="Arial" w:hAnsi="Arial"/>
          <w:color w:val="1A1A1A"/>
        </w:rPr>
        <w:t>For critical data entered manually, there shall be an additional check on the accuracy of the data. This check may be done by a second operator or by validated electronic means. The criticality and the consequential risks of the data shall be considered when defining the type and extent of the check.</w:t>
      </w:r>
    </w:p>
    <w:p w14:paraId="644CCD2E" w14:textId="77777777" w:rsidR="00CD5946" w:rsidRDefault="00000000">
      <w:pPr>
        <w:bidi/>
        <w:spacing w:after="150" w:line="300" w:lineRule="auto"/>
        <w:ind w:right="300" w:hanging="300"/>
        <w:jc w:val="right"/>
      </w:pPr>
      <w:r>
        <w:rPr>
          <w:rFonts w:ascii="Arial" w:eastAsia="Arial" w:hAnsi="Arial"/>
          <w:color w:val="333333"/>
          <w:sz w:val="20"/>
          <w:szCs w:val="20"/>
          <w:rtl/>
        </w:rPr>
        <w:t>للبيانات الحرجة المُدخَلة يدويّاً يُجرى فحص إضافي لدقّة البيانات، بواسطة مشغّل ثانٍ أو بوسائل إلكترونية مُتحقّقة. وتُراعى حرجيّة البيانات ومخاطرها عند تحديد نوع الفحص ومداه.</w:t>
      </w:r>
      <w:r>
        <w:rPr>
          <w:rFonts w:ascii="Arial" w:eastAsia="Arial" w:hAnsi="Arial"/>
          <w:b/>
          <w:bCs/>
          <w:color w:val="15512F"/>
          <w:sz w:val="20"/>
          <w:szCs w:val="20"/>
          <w:rtl/>
        </w:rPr>
        <w:t xml:space="preserve">  ⁦</w:t>
      </w:r>
      <w:r>
        <w:rPr>
          <w:rFonts w:ascii="Arial" w:eastAsia="Arial" w:hAnsi="Arial"/>
          <w:b/>
          <w:bCs/>
          <w:color w:val="15512F"/>
          <w:sz w:val="20"/>
          <w:szCs w:val="20"/>
        </w:rPr>
        <w:t>5.2</w:t>
      </w:r>
      <w:r>
        <w:rPr>
          <w:rFonts w:ascii="Arial" w:eastAsia="Arial" w:hAnsi="Arial"/>
          <w:b/>
          <w:bCs/>
          <w:color w:val="15512F"/>
          <w:sz w:val="20"/>
          <w:szCs w:val="20"/>
          <w:rtl/>
        </w:rPr>
        <w:t>⁩</w:t>
      </w:r>
    </w:p>
    <w:p w14:paraId="71684436" w14:textId="77777777" w:rsidR="00CD5946" w:rsidRDefault="00000000">
      <w:pPr>
        <w:pStyle w:val="Heading2"/>
        <w:spacing w:before="220"/>
      </w:pPr>
      <w:bookmarkStart w:id="184" w:name="__RefHeading___Toc9525_1729075678"/>
      <w:bookmarkEnd w:id="184"/>
      <w:r>
        <w:t>6.  Data storage</w:t>
      </w:r>
      <w:r>
        <w:rPr>
          <w:b w:val="0"/>
          <w:bCs w:val="0"/>
          <w:color w:val="1A1A1A"/>
          <w:sz w:val="21"/>
          <w:szCs w:val="21"/>
        </w:rPr>
        <w:t xml:space="preserve">   </w:t>
      </w:r>
      <w:r>
        <w:rPr>
          <w:color w:val="C8A24B"/>
          <w:sz w:val="20"/>
          <w:szCs w:val="20"/>
          <w:rtl/>
        </w:rPr>
        <w:t>تخزين البيانات</w:t>
      </w:r>
    </w:p>
    <w:p w14:paraId="480DB80A" w14:textId="77777777" w:rsidR="00CD5946" w:rsidRDefault="00000000">
      <w:pPr>
        <w:spacing w:after="40" w:line="266" w:lineRule="auto"/>
        <w:ind w:left="300" w:hanging="300"/>
      </w:pPr>
      <w:r>
        <w:rPr>
          <w:rFonts w:ascii="Arial" w:eastAsia="Arial" w:hAnsi="Arial"/>
          <w:b/>
          <w:bCs/>
          <w:color w:val="15512F"/>
        </w:rPr>
        <w:t xml:space="preserve">6.1  </w:t>
      </w:r>
      <w:r>
        <w:rPr>
          <w:rFonts w:ascii="Arial" w:eastAsia="Arial" w:hAnsi="Arial"/>
          <w:color w:val="1A1A1A"/>
        </w:rPr>
        <w:t>Data shall be secured by both physical and electronic means against damage. Stored data shall be checked for accessibility, readability and accuracy. Access to data shall be ensured throughout the retention period. Regular back-ups of all relevant data shall be made; the integrity and accuracy of back-up data, and the ability to restore the data, shall be checked during validation and monitored periodically.</w:t>
      </w:r>
    </w:p>
    <w:p w14:paraId="515A2B2D" w14:textId="77777777" w:rsidR="00CD5946" w:rsidRDefault="00000000">
      <w:pPr>
        <w:bidi/>
        <w:spacing w:after="150" w:line="300" w:lineRule="auto"/>
        <w:ind w:right="300" w:hanging="300"/>
        <w:jc w:val="right"/>
      </w:pPr>
      <w:r>
        <w:rPr>
          <w:rFonts w:ascii="Arial" w:eastAsia="Arial" w:hAnsi="Arial"/>
          <w:color w:val="333333"/>
          <w:sz w:val="20"/>
          <w:szCs w:val="20"/>
          <w:rtl/>
        </w:rPr>
        <w:t>تُؤمّن البيانات بوسائل مادية وإلكترونية ضدّ التلف. وتُفحص البيانات المخزّنة للتأكّد من إمكانية الوصول والقراءة والدقّة، ويُضمن الوصول طوال مدّة الاحتفاظ. وتُجرى نسخ احتياطي دوريّة، وتُختبر سلامة النسخ ودقّتها والقدرة على الاستعادة أثناء التحقّق وتُراقَب دوريّاً.</w:t>
      </w:r>
      <w:r>
        <w:rPr>
          <w:rFonts w:ascii="Arial" w:eastAsia="Arial" w:hAnsi="Arial"/>
          <w:b/>
          <w:bCs/>
          <w:color w:val="15512F"/>
          <w:sz w:val="20"/>
          <w:szCs w:val="20"/>
          <w:rtl/>
        </w:rPr>
        <w:t xml:space="preserve">  ⁦</w:t>
      </w:r>
      <w:r>
        <w:rPr>
          <w:rFonts w:ascii="Arial" w:eastAsia="Arial" w:hAnsi="Arial"/>
          <w:b/>
          <w:bCs/>
          <w:color w:val="15512F"/>
          <w:sz w:val="20"/>
          <w:szCs w:val="20"/>
        </w:rPr>
        <w:t>6.1</w:t>
      </w:r>
      <w:r>
        <w:rPr>
          <w:rFonts w:ascii="Arial" w:eastAsia="Arial" w:hAnsi="Arial"/>
          <w:b/>
          <w:bCs/>
          <w:color w:val="15512F"/>
          <w:sz w:val="20"/>
          <w:szCs w:val="20"/>
          <w:rtl/>
        </w:rPr>
        <w:t>⁩</w:t>
      </w:r>
    </w:p>
    <w:p w14:paraId="0B374B7F" w14:textId="77777777" w:rsidR="00CD5946" w:rsidRDefault="00000000">
      <w:pPr>
        <w:pStyle w:val="Heading2"/>
        <w:spacing w:before="220"/>
      </w:pPr>
      <w:bookmarkStart w:id="185" w:name="__RefHeading___Toc9527_1729075678"/>
      <w:bookmarkEnd w:id="185"/>
      <w:r>
        <w:t>7.  Printouts</w:t>
      </w:r>
      <w:r>
        <w:rPr>
          <w:b w:val="0"/>
          <w:bCs w:val="0"/>
          <w:color w:val="1A1A1A"/>
          <w:sz w:val="21"/>
          <w:szCs w:val="21"/>
        </w:rPr>
        <w:t xml:space="preserve">   </w:t>
      </w:r>
      <w:r>
        <w:rPr>
          <w:color w:val="C8A24B"/>
          <w:sz w:val="20"/>
          <w:szCs w:val="20"/>
          <w:rtl/>
        </w:rPr>
        <w:t>المطبوعات</w:t>
      </w:r>
    </w:p>
    <w:p w14:paraId="6357FB0F" w14:textId="77777777" w:rsidR="00CD5946" w:rsidRDefault="00000000">
      <w:pPr>
        <w:spacing w:after="40" w:line="266" w:lineRule="auto"/>
        <w:ind w:left="300" w:hanging="300"/>
      </w:pPr>
      <w:r>
        <w:rPr>
          <w:rFonts w:ascii="Arial" w:eastAsia="Arial" w:hAnsi="Arial"/>
          <w:b/>
          <w:bCs/>
          <w:color w:val="15512F"/>
        </w:rPr>
        <w:t xml:space="preserve">7.1  </w:t>
      </w:r>
      <w:r>
        <w:rPr>
          <w:rFonts w:ascii="Arial" w:eastAsia="Arial" w:hAnsi="Arial"/>
          <w:color w:val="1A1A1A"/>
        </w:rPr>
        <w:t>It shall be possible to obtain clear printed copies of electronically stored data. For records supporting batch release, it shall be possible to generate printouts indicating if any of the data has been changed since the original entry.</w:t>
      </w:r>
    </w:p>
    <w:p w14:paraId="414769EE" w14:textId="77777777" w:rsidR="00CD5946" w:rsidRDefault="00000000">
      <w:pPr>
        <w:bidi/>
        <w:spacing w:after="150" w:line="300" w:lineRule="auto"/>
        <w:ind w:right="300" w:hanging="300"/>
        <w:jc w:val="right"/>
      </w:pPr>
      <w:r>
        <w:rPr>
          <w:rFonts w:ascii="Arial" w:eastAsia="Arial" w:hAnsi="Arial"/>
          <w:color w:val="333333"/>
          <w:sz w:val="20"/>
          <w:szCs w:val="20"/>
          <w:rtl/>
        </w:rPr>
        <w:t>يجب إمكانية الحصول على نسخ مطبوعة واضحة للبيانات المخزّنة إلكترونيّاً. وللسجلات الداعمة لإفراج الدفعة يجب إمكانية إصدار مطبوعات تُبيّن إن كانت أيّ بيانات قد تغيّرت منذ الإدخال الأصلي.</w:t>
      </w:r>
      <w:r>
        <w:rPr>
          <w:rFonts w:ascii="Arial" w:eastAsia="Arial" w:hAnsi="Arial"/>
          <w:b/>
          <w:bCs/>
          <w:color w:val="15512F"/>
          <w:sz w:val="20"/>
          <w:szCs w:val="20"/>
          <w:rtl/>
        </w:rPr>
        <w:t xml:space="preserve">  ⁦</w:t>
      </w:r>
      <w:r>
        <w:rPr>
          <w:rFonts w:ascii="Arial" w:eastAsia="Arial" w:hAnsi="Arial"/>
          <w:b/>
          <w:bCs/>
          <w:color w:val="15512F"/>
          <w:sz w:val="20"/>
          <w:szCs w:val="20"/>
        </w:rPr>
        <w:t>7.1</w:t>
      </w:r>
      <w:r>
        <w:rPr>
          <w:rFonts w:ascii="Arial" w:eastAsia="Arial" w:hAnsi="Arial"/>
          <w:b/>
          <w:bCs/>
          <w:color w:val="15512F"/>
          <w:sz w:val="20"/>
          <w:szCs w:val="20"/>
          <w:rtl/>
        </w:rPr>
        <w:t>⁩</w:t>
      </w:r>
    </w:p>
    <w:p w14:paraId="6BB7B67C" w14:textId="77777777" w:rsidR="00CD5946" w:rsidRDefault="00000000">
      <w:pPr>
        <w:pStyle w:val="Heading2"/>
        <w:spacing w:before="220"/>
      </w:pPr>
      <w:bookmarkStart w:id="186" w:name="__RefHeading___Toc9529_1729075678"/>
      <w:bookmarkEnd w:id="186"/>
      <w:r>
        <w:lastRenderedPageBreak/>
        <w:t>8.  Audit trails</w:t>
      </w:r>
      <w:r>
        <w:rPr>
          <w:b w:val="0"/>
          <w:bCs w:val="0"/>
          <w:color w:val="1A1A1A"/>
          <w:sz w:val="21"/>
          <w:szCs w:val="21"/>
        </w:rPr>
        <w:t xml:space="preserve">   </w:t>
      </w:r>
      <w:r>
        <w:rPr>
          <w:color w:val="C8A24B"/>
          <w:sz w:val="20"/>
          <w:szCs w:val="20"/>
          <w:rtl/>
        </w:rPr>
        <w:t>مسارات التدقيق</w:t>
      </w:r>
    </w:p>
    <w:p w14:paraId="01E0A9E3" w14:textId="77777777" w:rsidR="00CD5946" w:rsidRDefault="00000000">
      <w:pPr>
        <w:spacing w:after="40" w:line="266" w:lineRule="auto"/>
        <w:ind w:left="300" w:hanging="300"/>
      </w:pPr>
      <w:r>
        <w:rPr>
          <w:rFonts w:ascii="Arial" w:eastAsia="Arial" w:hAnsi="Arial"/>
          <w:b/>
          <w:bCs/>
          <w:color w:val="15512F"/>
        </w:rPr>
        <w:t xml:space="preserve">8.1  </w:t>
      </w:r>
      <w:r>
        <w:rPr>
          <w:rFonts w:ascii="Arial" w:eastAsia="Arial" w:hAnsi="Arial"/>
          <w:color w:val="1A1A1A"/>
        </w:rPr>
        <w:t>Consideration shall be given, based on a risk assessment, to building into the system the creation of a record of all GMP-relevant changes and deletions (a system-generated “audit trail”). For changing or deleting GMP-relevant data the reason shall be documented. Audit trails shall be available, convertible to a generally intelligible form, and regularly reviewed; they shall be secured against amendment and shall not be capable of being switched off by ordinary users.</w:t>
      </w:r>
    </w:p>
    <w:p w14:paraId="22E2203D"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يُراعى — بناءً على تقييم المخاطر — تضمين النظام إنشاء سجل لكل التغييرات والحذف ذات الصلة بـ </w:t>
      </w:r>
      <w:r>
        <w:rPr>
          <w:rFonts w:ascii="Arial" w:eastAsia="Arial" w:hAnsi="Arial"/>
          <w:color w:val="333333"/>
          <w:sz w:val="20"/>
          <w:szCs w:val="20"/>
        </w:rPr>
        <w:t>GMP</w:t>
      </w:r>
      <w:r>
        <w:rPr>
          <w:rFonts w:ascii="Arial" w:eastAsia="Arial" w:hAnsi="Arial"/>
          <w:color w:val="333333"/>
          <w:sz w:val="20"/>
          <w:szCs w:val="20"/>
          <w:rtl/>
        </w:rPr>
        <w:t xml:space="preserve"> (مسار تدقيق مولّد من النظام). وعند تغيير أو حذف بيانات حرجة يُوثّق السبب. وتكون مسارات التدقيق متاحة وقابلة للتحويل إلى صيغة مفهومة وتُراجَع دوريّاً، وتُؤمّن ضدّ التعديل ولا يمكن إيقافها من المستخدمين العاديين.</w:t>
      </w:r>
      <w:r>
        <w:rPr>
          <w:rFonts w:ascii="Arial" w:eastAsia="Arial" w:hAnsi="Arial"/>
          <w:b/>
          <w:bCs/>
          <w:color w:val="15512F"/>
          <w:sz w:val="20"/>
          <w:szCs w:val="20"/>
          <w:rtl/>
        </w:rPr>
        <w:t xml:space="preserve">  ⁦</w:t>
      </w:r>
      <w:r>
        <w:rPr>
          <w:rFonts w:ascii="Arial" w:eastAsia="Arial" w:hAnsi="Arial"/>
          <w:b/>
          <w:bCs/>
          <w:color w:val="15512F"/>
          <w:sz w:val="20"/>
          <w:szCs w:val="20"/>
        </w:rPr>
        <w:t>8.1</w:t>
      </w:r>
      <w:r>
        <w:rPr>
          <w:rFonts w:ascii="Arial" w:eastAsia="Arial" w:hAnsi="Arial"/>
          <w:b/>
          <w:bCs/>
          <w:color w:val="15512F"/>
          <w:sz w:val="20"/>
          <w:szCs w:val="20"/>
          <w:rtl/>
        </w:rPr>
        <w:t>⁩</w:t>
      </w:r>
    </w:p>
    <w:p w14:paraId="57FB9589" w14:textId="77777777" w:rsidR="00CD5946" w:rsidRDefault="00000000">
      <w:pP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The frequency and depth of audit-trail review should be based on the criticality of the data and may be incorporated into the routine batch-record or analytical-data review. Audit-trail review is most effective when focused on the data that determine product quality and release decisions, rather than on every system event.</w:t>
      </w:r>
    </w:p>
    <w:p w14:paraId="69A47D49" w14:textId="77777777" w:rsidR="00CD5946" w:rsidRDefault="00000000">
      <w:pPr>
        <w:bidi/>
        <w:spacing w:after="140"/>
        <w:ind w:right="300"/>
        <w:jc w:val="right"/>
      </w:pPr>
      <w:r>
        <w:rPr>
          <w:rFonts w:ascii="Arial" w:eastAsia="Arial" w:hAnsi="Arial"/>
          <w:color w:val="5A5A5A"/>
          <w:sz w:val="18"/>
          <w:szCs w:val="18"/>
          <w:rtl/>
        </w:rPr>
        <w:t>يُبنى تواتر وعمق مراجعة مسار التدقيق على حرجيّة البيانات، ويمكن دمجه في المراجعة الروتينية لسجل الدفعة أو البيانات التحليلية. وتكون المراجعة أنجع عند التركيز على البيانات التي تحدّد جودة المنتج وقرارات الإفراج، لا على كل حدث في النظام.</w:t>
      </w:r>
      <w:r>
        <w:rPr>
          <w:rFonts w:ascii="Arial" w:eastAsia="Arial" w:hAnsi="Arial"/>
          <w:b/>
          <w:bCs/>
          <w:color w:val="5A5A5A"/>
          <w:sz w:val="18"/>
          <w:szCs w:val="18"/>
          <w:rtl/>
        </w:rPr>
        <w:t xml:space="preserve">  ملاحظة.</w:t>
      </w:r>
    </w:p>
    <w:p w14:paraId="66675586" w14:textId="77777777" w:rsidR="00CD5946" w:rsidRDefault="00000000">
      <w:pPr>
        <w:pStyle w:val="Heading2"/>
        <w:spacing w:before="220"/>
      </w:pPr>
      <w:bookmarkStart w:id="187" w:name="__RefHeading___Toc9531_1729075678"/>
      <w:bookmarkEnd w:id="187"/>
      <w:r>
        <w:t>9.  Change and configuration management</w:t>
      </w:r>
      <w:r>
        <w:rPr>
          <w:b w:val="0"/>
          <w:bCs w:val="0"/>
          <w:color w:val="1A1A1A"/>
          <w:sz w:val="21"/>
          <w:szCs w:val="21"/>
        </w:rPr>
        <w:t xml:space="preserve">   </w:t>
      </w:r>
      <w:r>
        <w:rPr>
          <w:color w:val="C8A24B"/>
          <w:sz w:val="20"/>
          <w:szCs w:val="20"/>
          <w:rtl/>
        </w:rPr>
        <w:t>إدارة التغيير والتهيئة</w:t>
      </w:r>
    </w:p>
    <w:p w14:paraId="2548E720" w14:textId="77777777" w:rsidR="00CD5946" w:rsidRDefault="00000000">
      <w:pPr>
        <w:spacing w:after="40" w:line="266" w:lineRule="auto"/>
        <w:ind w:left="300" w:hanging="300"/>
      </w:pPr>
      <w:r>
        <w:rPr>
          <w:rFonts w:ascii="Arial" w:eastAsia="Arial" w:hAnsi="Arial"/>
          <w:b/>
          <w:bCs/>
          <w:color w:val="15512F"/>
        </w:rPr>
        <w:t xml:space="preserve">9.1  </w:t>
      </w:r>
      <w:r>
        <w:rPr>
          <w:rFonts w:ascii="Arial" w:eastAsia="Arial" w:hAnsi="Arial"/>
          <w:color w:val="1A1A1A"/>
        </w:rPr>
        <w:t>Any changes to a computerised system, including system configurations, shall only be made in a controlled manner in accordance with a defined procedure. The computerised system shall be evaluated periodically to confirm that it remains in a valid state and is compliant with GMP; such evaluations shall include, where appropriate, the current range of functionality, deviation records, incidents, problems, upgrade history, performance, reliability, security and validation-status reports.</w:t>
      </w:r>
    </w:p>
    <w:p w14:paraId="78D76A3F"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لا تُجرى أيّ تغييرات على النظام المحوسب — بما فيها التهيئات — إلّا بطريقة مضبوطة وفق إجراء محدّد. ويُقيّم النظام دوريّاً لتأكيد بقائه في حالة تحقّق ومتوافقاً مع </w:t>
      </w:r>
      <w:r>
        <w:rPr>
          <w:rFonts w:ascii="Arial" w:eastAsia="Arial" w:hAnsi="Arial"/>
          <w:color w:val="333333"/>
          <w:sz w:val="20"/>
          <w:szCs w:val="20"/>
        </w:rPr>
        <w:t>GMP</w:t>
      </w:r>
      <w:r>
        <w:rPr>
          <w:rFonts w:ascii="Arial" w:eastAsia="Arial" w:hAnsi="Arial"/>
          <w:color w:val="333333"/>
          <w:sz w:val="20"/>
          <w:szCs w:val="20"/>
          <w:rtl/>
        </w:rPr>
        <w:t>؛ وتشمل التقييمات عند الاقتضاء: الوظائف الحالية وسجلات الانحرافات والحوادث والمشاكل وتاريخ الترقية والأداء والموثوقية والأمن وحالة التحقّق.</w:t>
      </w:r>
      <w:r>
        <w:rPr>
          <w:rFonts w:ascii="Arial" w:eastAsia="Arial" w:hAnsi="Arial"/>
          <w:b/>
          <w:bCs/>
          <w:color w:val="15512F"/>
          <w:sz w:val="20"/>
          <w:szCs w:val="20"/>
          <w:rtl/>
        </w:rPr>
        <w:t xml:space="preserve">  ⁦</w:t>
      </w:r>
      <w:r>
        <w:rPr>
          <w:rFonts w:ascii="Arial" w:eastAsia="Arial" w:hAnsi="Arial"/>
          <w:b/>
          <w:bCs/>
          <w:color w:val="15512F"/>
          <w:sz w:val="20"/>
          <w:szCs w:val="20"/>
        </w:rPr>
        <w:t>9.1</w:t>
      </w:r>
      <w:r>
        <w:rPr>
          <w:rFonts w:ascii="Arial" w:eastAsia="Arial" w:hAnsi="Arial"/>
          <w:b/>
          <w:bCs/>
          <w:color w:val="15512F"/>
          <w:sz w:val="20"/>
          <w:szCs w:val="20"/>
          <w:rtl/>
        </w:rPr>
        <w:t>⁩</w:t>
      </w:r>
    </w:p>
    <w:p w14:paraId="7B13F8DB" w14:textId="77777777" w:rsidR="00CD5946" w:rsidRDefault="00000000">
      <w:pPr>
        <w:pStyle w:val="Heading2"/>
        <w:spacing w:before="220"/>
      </w:pPr>
      <w:bookmarkStart w:id="188" w:name="__RefHeading___Toc9533_1729075678"/>
      <w:bookmarkEnd w:id="188"/>
      <w:r>
        <w:t>10.  Security</w:t>
      </w:r>
      <w:r>
        <w:rPr>
          <w:b w:val="0"/>
          <w:bCs w:val="0"/>
          <w:color w:val="1A1A1A"/>
          <w:sz w:val="21"/>
          <w:szCs w:val="21"/>
        </w:rPr>
        <w:t xml:space="preserve">   </w:t>
      </w:r>
      <w:r>
        <w:rPr>
          <w:color w:val="C8A24B"/>
          <w:sz w:val="20"/>
          <w:szCs w:val="20"/>
          <w:rtl/>
        </w:rPr>
        <w:t>الأمن</w:t>
      </w:r>
    </w:p>
    <w:p w14:paraId="483EE112" w14:textId="77777777" w:rsidR="00CD5946" w:rsidRDefault="00000000">
      <w:pPr>
        <w:spacing w:after="40" w:line="266" w:lineRule="auto"/>
        <w:ind w:left="300" w:hanging="300"/>
      </w:pPr>
      <w:r>
        <w:rPr>
          <w:rFonts w:ascii="Arial" w:eastAsia="Arial" w:hAnsi="Arial"/>
          <w:b/>
          <w:bCs/>
          <w:color w:val="15512F"/>
        </w:rPr>
        <w:t xml:space="preserve">10.1  </w:t>
      </w:r>
      <w:r>
        <w:rPr>
          <w:rFonts w:ascii="Arial" w:eastAsia="Arial" w:hAnsi="Arial"/>
          <w:color w:val="1A1A1A"/>
        </w:rPr>
        <w:t>Physical and/or logical controls shall be in place to restrict access to computerised systems to authorised persons. Suitable methods of preventing unauthorised entry to the system may include the use of keys, pass cards, personal codes with passwords, biometrics, or restricted access to computer equipment and data-storage areas. The extent of security controls depends on the criticality of the computerised system.</w:t>
      </w:r>
    </w:p>
    <w:p w14:paraId="2F4D3E97" w14:textId="77777777" w:rsidR="00CD5946" w:rsidRDefault="00000000">
      <w:pPr>
        <w:bidi/>
        <w:spacing w:after="150" w:line="300" w:lineRule="auto"/>
        <w:ind w:right="300" w:hanging="300"/>
        <w:jc w:val="right"/>
      </w:pPr>
      <w:r>
        <w:rPr>
          <w:rFonts w:ascii="Arial" w:eastAsia="Arial" w:hAnsi="Arial"/>
          <w:color w:val="333333"/>
          <w:sz w:val="20"/>
          <w:szCs w:val="20"/>
          <w:rtl/>
        </w:rPr>
        <w:t>تُوضع ضوابط مادية و/أو منطقية لقصر الوصول إلى الأنظمة على المخوّلين. ومن وسائل منع الدخول غير المخوّل: المفاتيح وبطاقات المرور والرموز الشخصية مع كلمات السر والسمات الحيوية أو الوصول المقيّد. ويعتمد مدى الضوابط على حرجيّة النظام.</w:t>
      </w:r>
      <w:r>
        <w:rPr>
          <w:rFonts w:ascii="Arial" w:eastAsia="Arial" w:hAnsi="Arial"/>
          <w:b/>
          <w:bCs/>
          <w:color w:val="15512F"/>
          <w:sz w:val="20"/>
          <w:szCs w:val="20"/>
          <w:rtl/>
        </w:rPr>
        <w:t xml:space="preserve">  ⁦</w:t>
      </w:r>
      <w:r>
        <w:rPr>
          <w:rFonts w:ascii="Arial" w:eastAsia="Arial" w:hAnsi="Arial"/>
          <w:b/>
          <w:bCs/>
          <w:color w:val="15512F"/>
          <w:sz w:val="20"/>
          <w:szCs w:val="20"/>
        </w:rPr>
        <w:t>10.1</w:t>
      </w:r>
      <w:r>
        <w:rPr>
          <w:rFonts w:ascii="Arial" w:eastAsia="Arial" w:hAnsi="Arial"/>
          <w:b/>
          <w:bCs/>
          <w:color w:val="15512F"/>
          <w:sz w:val="20"/>
          <w:szCs w:val="20"/>
          <w:rtl/>
        </w:rPr>
        <w:t>⁩</w:t>
      </w:r>
    </w:p>
    <w:p w14:paraId="4166F289" w14:textId="77777777" w:rsidR="00CD5946" w:rsidRDefault="00000000">
      <w:pPr>
        <w:spacing w:after="40" w:line="266" w:lineRule="auto"/>
        <w:ind w:left="300" w:hanging="300"/>
      </w:pPr>
      <w:r>
        <w:rPr>
          <w:rFonts w:ascii="Arial" w:eastAsia="Arial" w:hAnsi="Arial"/>
          <w:b/>
          <w:bCs/>
          <w:color w:val="15512F"/>
        </w:rPr>
        <w:t xml:space="preserve">10.2  </w:t>
      </w:r>
      <w:r>
        <w:rPr>
          <w:rFonts w:ascii="Arial" w:eastAsia="Arial" w:hAnsi="Arial"/>
          <w:color w:val="1A1A1A"/>
        </w:rPr>
        <w:t>Creation, change and cancellation of access authorisations shall be recorded. Management systems for data and for documents shall be designed to record the identity of operators entering, changing, confirming or deleting data, including the date and time. The system shall record the unique identity of the individual responsible for each entry and action.</w:t>
      </w:r>
    </w:p>
    <w:p w14:paraId="257336C8" w14:textId="77777777" w:rsidR="00CD5946" w:rsidRDefault="00000000">
      <w:pPr>
        <w:bidi/>
        <w:spacing w:after="150" w:line="300" w:lineRule="auto"/>
        <w:ind w:right="300" w:hanging="300"/>
        <w:jc w:val="right"/>
      </w:pPr>
      <w:r>
        <w:rPr>
          <w:rFonts w:ascii="Arial" w:eastAsia="Arial" w:hAnsi="Arial"/>
          <w:color w:val="333333"/>
          <w:sz w:val="20"/>
          <w:szCs w:val="20"/>
          <w:rtl/>
        </w:rPr>
        <w:t>تُسجّل إنشاء وتغيير وإلغاء صلاحيات الوصول. وتُصمّم أنظمة إدارة البيانات والوثائق لتسجيل هوية المشغّلين الذين يُدخلون أو يُغيّرون أو يُؤكّدون أو يحذفون البيانات، مع التاريخ والوقت. ويُسجّل النظام الهوية الفريدة للمسؤول عن كل إدخال وإجراء.</w:t>
      </w:r>
      <w:r>
        <w:rPr>
          <w:rFonts w:ascii="Arial" w:eastAsia="Arial" w:hAnsi="Arial"/>
          <w:b/>
          <w:bCs/>
          <w:color w:val="15512F"/>
          <w:sz w:val="20"/>
          <w:szCs w:val="20"/>
          <w:rtl/>
        </w:rPr>
        <w:t xml:space="preserve">  ⁦</w:t>
      </w:r>
      <w:r>
        <w:rPr>
          <w:rFonts w:ascii="Arial" w:eastAsia="Arial" w:hAnsi="Arial"/>
          <w:b/>
          <w:bCs/>
          <w:color w:val="15512F"/>
          <w:sz w:val="20"/>
          <w:szCs w:val="20"/>
        </w:rPr>
        <w:t>10.2</w:t>
      </w:r>
      <w:r>
        <w:rPr>
          <w:rFonts w:ascii="Arial" w:eastAsia="Arial" w:hAnsi="Arial"/>
          <w:b/>
          <w:bCs/>
          <w:color w:val="15512F"/>
          <w:sz w:val="20"/>
          <w:szCs w:val="20"/>
          <w:rtl/>
        </w:rPr>
        <w:t>⁩</w:t>
      </w:r>
    </w:p>
    <w:p w14:paraId="5009554C" w14:textId="77777777" w:rsidR="00CD5946" w:rsidRDefault="00000000">
      <w:pPr>
        <w:pStyle w:val="Heading2"/>
        <w:spacing w:before="220"/>
      </w:pPr>
      <w:bookmarkStart w:id="189" w:name="__RefHeading___Toc9535_1729075678"/>
      <w:bookmarkEnd w:id="189"/>
      <w:r>
        <w:t>11.  Incident management</w:t>
      </w:r>
      <w:r>
        <w:rPr>
          <w:b w:val="0"/>
          <w:bCs w:val="0"/>
          <w:color w:val="1A1A1A"/>
          <w:sz w:val="21"/>
          <w:szCs w:val="21"/>
        </w:rPr>
        <w:t xml:space="preserve">   </w:t>
      </w:r>
      <w:r>
        <w:rPr>
          <w:color w:val="C8A24B"/>
          <w:sz w:val="20"/>
          <w:szCs w:val="20"/>
          <w:rtl/>
        </w:rPr>
        <w:t>إدارة الحوادث</w:t>
      </w:r>
    </w:p>
    <w:p w14:paraId="111A18C2" w14:textId="77777777" w:rsidR="00CD5946" w:rsidRDefault="00000000">
      <w:pPr>
        <w:spacing w:after="40" w:line="266" w:lineRule="auto"/>
        <w:ind w:left="300" w:hanging="300"/>
      </w:pPr>
      <w:r>
        <w:rPr>
          <w:rFonts w:ascii="Arial" w:eastAsia="Arial" w:hAnsi="Arial"/>
          <w:b/>
          <w:bCs/>
          <w:color w:val="15512F"/>
        </w:rPr>
        <w:t xml:space="preserve">11.1  </w:t>
      </w:r>
      <w:r>
        <w:rPr>
          <w:rFonts w:ascii="Arial" w:eastAsia="Arial" w:hAnsi="Arial"/>
          <w:color w:val="1A1A1A"/>
        </w:rPr>
        <w:t>All incidents, not only system failures and data errors, shall be reported and assessed. The root cause of a critical incident shall be identified and shall form the basis of corrective and preventive actions. The impact of any incident on data integrity and on released product shall be evaluated and documented.</w:t>
      </w:r>
    </w:p>
    <w:p w14:paraId="31347D47" w14:textId="77777777" w:rsidR="00CD5946" w:rsidRDefault="00000000">
      <w:pPr>
        <w:bidi/>
        <w:spacing w:after="150" w:line="300" w:lineRule="auto"/>
        <w:ind w:right="300" w:hanging="300"/>
        <w:jc w:val="right"/>
      </w:pPr>
      <w:r>
        <w:rPr>
          <w:rFonts w:ascii="Arial" w:eastAsia="Arial" w:hAnsi="Arial"/>
          <w:color w:val="333333"/>
          <w:sz w:val="20"/>
          <w:szCs w:val="20"/>
          <w:rtl/>
        </w:rPr>
        <w:lastRenderedPageBreak/>
        <w:t>تُبلَغ وتُقيّم جميع الحوادث، وليس فقط أعطال النظام وأخطاء البيانات. ويُحدّد السبب الجذري للحادث الحرج ويُبنى عليه الإجراء التصحيحي والوقائي. ويُقيّم ويُوثّق أثر أيّ حادث على سلامة البيانات والمنتج المُفرج عنه.</w:t>
      </w:r>
      <w:r>
        <w:rPr>
          <w:rFonts w:ascii="Arial" w:eastAsia="Arial" w:hAnsi="Arial"/>
          <w:b/>
          <w:bCs/>
          <w:color w:val="15512F"/>
          <w:sz w:val="20"/>
          <w:szCs w:val="20"/>
          <w:rtl/>
        </w:rPr>
        <w:t xml:space="preserve">  ⁦</w:t>
      </w:r>
      <w:r>
        <w:rPr>
          <w:rFonts w:ascii="Arial" w:eastAsia="Arial" w:hAnsi="Arial"/>
          <w:b/>
          <w:bCs/>
          <w:color w:val="15512F"/>
          <w:sz w:val="20"/>
          <w:szCs w:val="20"/>
        </w:rPr>
        <w:t>11.1</w:t>
      </w:r>
      <w:r>
        <w:rPr>
          <w:rFonts w:ascii="Arial" w:eastAsia="Arial" w:hAnsi="Arial"/>
          <w:b/>
          <w:bCs/>
          <w:color w:val="15512F"/>
          <w:sz w:val="20"/>
          <w:szCs w:val="20"/>
          <w:rtl/>
        </w:rPr>
        <w:t>⁩</w:t>
      </w:r>
    </w:p>
    <w:p w14:paraId="45B6EC7A" w14:textId="77777777" w:rsidR="00CD5946" w:rsidRDefault="00000000">
      <w:pPr>
        <w:pStyle w:val="Heading2"/>
        <w:spacing w:before="220"/>
      </w:pPr>
      <w:bookmarkStart w:id="190" w:name="__RefHeading___Toc9537_1729075678"/>
      <w:bookmarkEnd w:id="190"/>
      <w:r>
        <w:t>12.  Electronic signature</w:t>
      </w:r>
      <w:r>
        <w:rPr>
          <w:b w:val="0"/>
          <w:bCs w:val="0"/>
          <w:color w:val="1A1A1A"/>
          <w:sz w:val="21"/>
          <w:szCs w:val="21"/>
        </w:rPr>
        <w:t xml:space="preserve">   </w:t>
      </w:r>
      <w:r>
        <w:rPr>
          <w:color w:val="C8A24B"/>
          <w:sz w:val="20"/>
          <w:szCs w:val="20"/>
          <w:rtl/>
        </w:rPr>
        <w:t>التوقيع الإلكتروني</w:t>
      </w:r>
    </w:p>
    <w:p w14:paraId="159ADC70" w14:textId="77777777" w:rsidR="00CD5946" w:rsidRDefault="00000000">
      <w:pPr>
        <w:spacing w:after="40" w:line="266" w:lineRule="auto"/>
        <w:ind w:left="300" w:hanging="300"/>
      </w:pPr>
      <w:r>
        <w:rPr>
          <w:rFonts w:ascii="Arial" w:eastAsia="Arial" w:hAnsi="Arial"/>
          <w:b/>
          <w:bCs/>
          <w:color w:val="15512F"/>
        </w:rPr>
        <w:t xml:space="preserve">12.1  </w:t>
      </w:r>
      <w:r>
        <w:rPr>
          <w:rFonts w:ascii="Arial" w:eastAsia="Arial" w:hAnsi="Arial"/>
          <w:color w:val="1A1A1A"/>
        </w:rPr>
        <w:t>Electronic records may be signed electronically. Electronic signatures shall have the same impact as hand-written signatures within the boundaries of the company, shall be permanently linked to their respective record, and shall include the time and date that they were applied. Controls shall ensure that a signature cannot be repudiated, copied or transferred to falsify a record.</w:t>
      </w:r>
    </w:p>
    <w:p w14:paraId="71077F8A" w14:textId="77777777" w:rsidR="00CD5946" w:rsidRDefault="00000000">
      <w:pPr>
        <w:bidi/>
        <w:spacing w:after="150" w:line="300" w:lineRule="auto"/>
        <w:ind w:right="300" w:hanging="300"/>
        <w:jc w:val="right"/>
      </w:pPr>
      <w:r>
        <w:rPr>
          <w:rFonts w:ascii="Arial" w:eastAsia="Arial" w:hAnsi="Arial"/>
          <w:color w:val="333333"/>
          <w:sz w:val="20"/>
          <w:szCs w:val="20"/>
          <w:rtl/>
        </w:rPr>
        <w:t>يجوز توقيع السجلات الإلكترونية إلكترونيّاً. ويكون للتوقيع الإلكتروني الأثر نفسه للتوقيع اليدوي داخل الشركة، ويُربط دائماً بسجلّه ويتضمّن التاريخ والوقت. وتضمن الضوابط ألّا يُنكر التوقيع أو يُنسخ أو يُنقَل لتزوير سجلّ.</w:t>
      </w:r>
      <w:r>
        <w:rPr>
          <w:rFonts w:ascii="Arial" w:eastAsia="Arial" w:hAnsi="Arial"/>
          <w:b/>
          <w:bCs/>
          <w:color w:val="15512F"/>
          <w:sz w:val="20"/>
          <w:szCs w:val="20"/>
          <w:rtl/>
        </w:rPr>
        <w:t xml:space="preserve">  ⁦</w:t>
      </w:r>
      <w:r>
        <w:rPr>
          <w:rFonts w:ascii="Arial" w:eastAsia="Arial" w:hAnsi="Arial"/>
          <w:b/>
          <w:bCs/>
          <w:color w:val="15512F"/>
          <w:sz w:val="20"/>
          <w:szCs w:val="20"/>
        </w:rPr>
        <w:t>12.1</w:t>
      </w:r>
      <w:r>
        <w:rPr>
          <w:rFonts w:ascii="Arial" w:eastAsia="Arial" w:hAnsi="Arial"/>
          <w:b/>
          <w:bCs/>
          <w:color w:val="15512F"/>
          <w:sz w:val="20"/>
          <w:szCs w:val="20"/>
          <w:rtl/>
        </w:rPr>
        <w:t>⁩</w:t>
      </w:r>
    </w:p>
    <w:p w14:paraId="47B4BC94" w14:textId="77777777" w:rsidR="00CD5946" w:rsidRDefault="00000000">
      <w:pPr>
        <w:pStyle w:val="Heading2"/>
        <w:spacing w:before="220"/>
      </w:pPr>
      <w:bookmarkStart w:id="191" w:name="__RefHeading___Toc9539_1729075678"/>
      <w:bookmarkEnd w:id="191"/>
      <w:r>
        <w:t>13.  Batch release</w:t>
      </w:r>
      <w:r>
        <w:rPr>
          <w:b w:val="0"/>
          <w:bCs w:val="0"/>
          <w:color w:val="1A1A1A"/>
          <w:sz w:val="21"/>
          <w:szCs w:val="21"/>
        </w:rPr>
        <w:t xml:space="preserve">   </w:t>
      </w:r>
      <w:r>
        <w:rPr>
          <w:color w:val="C8A24B"/>
          <w:sz w:val="20"/>
          <w:szCs w:val="20"/>
          <w:rtl/>
        </w:rPr>
        <w:t>الإفراج عن الدفعة</w:t>
      </w:r>
    </w:p>
    <w:p w14:paraId="7BB365E2" w14:textId="77777777" w:rsidR="00CD5946" w:rsidRDefault="00000000">
      <w:pPr>
        <w:spacing w:after="40" w:line="266" w:lineRule="auto"/>
        <w:ind w:left="300" w:hanging="300"/>
      </w:pPr>
      <w:r>
        <w:rPr>
          <w:rFonts w:ascii="Arial" w:eastAsia="Arial" w:hAnsi="Arial"/>
          <w:b/>
          <w:bCs/>
          <w:color w:val="15512F"/>
        </w:rPr>
        <w:t xml:space="preserve">13.1  </w:t>
      </w:r>
      <w:r>
        <w:rPr>
          <w:rFonts w:ascii="Arial" w:eastAsia="Arial" w:hAnsi="Arial"/>
          <w:color w:val="1A1A1A"/>
        </w:rPr>
        <w:t>When a computerised system is used for recording certification and batch release, the system shall allow only Authorised/Qualified Persons to certify the release of the batches and it shall clearly identify and record the person releasing or certifying the batches. This shall be performed using an electronic signature.</w:t>
      </w:r>
    </w:p>
    <w:p w14:paraId="2C58936D" w14:textId="77777777" w:rsidR="00CD5946" w:rsidRDefault="00000000">
      <w:pPr>
        <w:bidi/>
        <w:spacing w:after="150" w:line="300" w:lineRule="auto"/>
        <w:ind w:right="300" w:hanging="300"/>
        <w:jc w:val="right"/>
      </w:pPr>
      <w:r>
        <w:rPr>
          <w:rFonts w:ascii="Arial" w:eastAsia="Arial" w:hAnsi="Arial"/>
          <w:color w:val="333333"/>
          <w:sz w:val="20"/>
          <w:szCs w:val="20"/>
          <w:rtl/>
        </w:rPr>
        <w:t>عندما يُستخدم نظام محوسب لتسجيل الاعتماد والإفراج، يجب ألّا يسمح إلّا للأشخاص المؤهّلين باعتماد الإفراج عن الدفعات، وأن يُحدّد ويُسجّل بوضوح الشخص الذي يُفرج أو يعتمد الدفعات، باستخدام توقيع إلكتروني.</w:t>
      </w:r>
      <w:r>
        <w:rPr>
          <w:rFonts w:ascii="Arial" w:eastAsia="Arial" w:hAnsi="Arial"/>
          <w:b/>
          <w:bCs/>
          <w:color w:val="15512F"/>
          <w:sz w:val="20"/>
          <w:szCs w:val="20"/>
          <w:rtl/>
        </w:rPr>
        <w:t xml:space="preserve">  ⁦</w:t>
      </w:r>
      <w:r>
        <w:rPr>
          <w:rFonts w:ascii="Arial" w:eastAsia="Arial" w:hAnsi="Arial"/>
          <w:b/>
          <w:bCs/>
          <w:color w:val="15512F"/>
          <w:sz w:val="20"/>
          <w:szCs w:val="20"/>
        </w:rPr>
        <w:t>13.1</w:t>
      </w:r>
      <w:r>
        <w:rPr>
          <w:rFonts w:ascii="Arial" w:eastAsia="Arial" w:hAnsi="Arial"/>
          <w:b/>
          <w:bCs/>
          <w:color w:val="15512F"/>
          <w:sz w:val="20"/>
          <w:szCs w:val="20"/>
          <w:rtl/>
        </w:rPr>
        <w:t>⁩</w:t>
      </w:r>
    </w:p>
    <w:p w14:paraId="5D1C8E0B" w14:textId="77777777" w:rsidR="00CD5946" w:rsidRDefault="00000000">
      <w:pPr>
        <w:pStyle w:val="Heading2"/>
        <w:spacing w:before="220"/>
      </w:pPr>
      <w:bookmarkStart w:id="192" w:name="__RefHeading___Toc9541_1729075678"/>
      <w:bookmarkEnd w:id="192"/>
      <w:r>
        <w:t>14.  Business continuity and archiving</w:t>
      </w:r>
      <w:r>
        <w:rPr>
          <w:b w:val="0"/>
          <w:bCs w:val="0"/>
          <w:color w:val="1A1A1A"/>
          <w:sz w:val="21"/>
          <w:szCs w:val="21"/>
        </w:rPr>
        <w:t xml:space="preserve">   </w:t>
      </w:r>
      <w:r>
        <w:rPr>
          <w:color w:val="C8A24B"/>
          <w:sz w:val="20"/>
          <w:szCs w:val="20"/>
          <w:rtl/>
        </w:rPr>
        <w:t>استمرارية الأعمال والأرشفة</w:t>
      </w:r>
    </w:p>
    <w:p w14:paraId="2B8226D8" w14:textId="77777777" w:rsidR="00CD5946" w:rsidRDefault="00000000">
      <w:pPr>
        <w:spacing w:after="40" w:line="266" w:lineRule="auto"/>
        <w:ind w:left="300" w:hanging="300"/>
      </w:pPr>
      <w:r>
        <w:rPr>
          <w:rFonts w:ascii="Arial" w:eastAsia="Arial" w:hAnsi="Arial"/>
          <w:b/>
          <w:bCs/>
          <w:color w:val="15512F"/>
        </w:rPr>
        <w:t xml:space="preserve">14.1  </w:t>
      </w:r>
      <w:r>
        <w:rPr>
          <w:rFonts w:ascii="Arial" w:eastAsia="Arial" w:hAnsi="Arial"/>
          <w:color w:val="1A1A1A"/>
        </w:rPr>
        <w:t>For the availability of computerised systems supporting critical processes, provisions shall be made to ensure continuity of support for those processes in the event of a system breakdown (for example a manual or alternative system). The time required to bring the alternative arrangements into use shall be based on risk and appropriate for the particular system and the business process it supports; these arrangements shall be adequately documented and tested.</w:t>
      </w:r>
    </w:p>
    <w:p w14:paraId="3B19070F" w14:textId="77777777" w:rsidR="00CD5946" w:rsidRDefault="00000000">
      <w:pPr>
        <w:bidi/>
        <w:spacing w:after="150" w:line="300" w:lineRule="auto"/>
        <w:ind w:right="300" w:hanging="300"/>
        <w:jc w:val="right"/>
      </w:pPr>
      <w:r>
        <w:rPr>
          <w:rFonts w:ascii="Arial" w:eastAsia="Arial" w:hAnsi="Arial"/>
          <w:color w:val="333333"/>
          <w:sz w:val="20"/>
          <w:szCs w:val="20"/>
          <w:rtl/>
        </w:rPr>
        <w:t>لضمان توافر الأنظمة الداعمة للعمليات الحرجة تُتّخذ ترتيبات لاستمرار دعم تلك العمليات عند تعطّل النظام (كنظام يدوي أو بديل). ويُبنى زمن تفعيل الترتيبات البديلة على المخاطر ويناسب النظام والعملية؛ وتُوثّق هذه الترتيبات وتُختبر بشكل كافٍ.</w:t>
      </w:r>
      <w:r>
        <w:rPr>
          <w:rFonts w:ascii="Arial" w:eastAsia="Arial" w:hAnsi="Arial"/>
          <w:b/>
          <w:bCs/>
          <w:color w:val="15512F"/>
          <w:sz w:val="20"/>
          <w:szCs w:val="20"/>
          <w:rtl/>
        </w:rPr>
        <w:t xml:space="preserve">  ⁦</w:t>
      </w:r>
      <w:r>
        <w:rPr>
          <w:rFonts w:ascii="Arial" w:eastAsia="Arial" w:hAnsi="Arial"/>
          <w:b/>
          <w:bCs/>
          <w:color w:val="15512F"/>
          <w:sz w:val="20"/>
          <w:szCs w:val="20"/>
        </w:rPr>
        <w:t>14.1</w:t>
      </w:r>
      <w:r>
        <w:rPr>
          <w:rFonts w:ascii="Arial" w:eastAsia="Arial" w:hAnsi="Arial"/>
          <w:b/>
          <w:bCs/>
          <w:color w:val="15512F"/>
          <w:sz w:val="20"/>
          <w:szCs w:val="20"/>
          <w:rtl/>
        </w:rPr>
        <w:t>⁩</w:t>
      </w:r>
    </w:p>
    <w:p w14:paraId="4A309514" w14:textId="77777777" w:rsidR="00CD5946" w:rsidRDefault="00000000">
      <w:pPr>
        <w:spacing w:after="40" w:line="266" w:lineRule="auto"/>
        <w:ind w:left="300" w:hanging="300"/>
      </w:pPr>
      <w:r>
        <w:rPr>
          <w:rFonts w:ascii="Arial" w:eastAsia="Arial" w:hAnsi="Arial"/>
          <w:b/>
          <w:bCs/>
          <w:color w:val="15512F"/>
        </w:rPr>
        <w:t xml:space="preserve">14.2  </w:t>
      </w:r>
      <w:r>
        <w:rPr>
          <w:rFonts w:ascii="Arial" w:eastAsia="Arial" w:hAnsi="Arial"/>
          <w:color w:val="1A1A1A"/>
        </w:rPr>
        <w:t>Data may be archived. This data shall be checked for accessibility, readability and integrity. If relevant changes are to be made to the system (for example computer equipment or programs), then the ability to retrieve the archived data shall be ensured and tested. Records shall be retained for the period required by the marketing authorisation and applicable legislation.</w:t>
      </w:r>
    </w:p>
    <w:p w14:paraId="44D3F6CF" w14:textId="77777777" w:rsidR="00CD5946" w:rsidRDefault="00000000">
      <w:pPr>
        <w:bidi/>
        <w:spacing w:after="150" w:line="300" w:lineRule="auto"/>
        <w:ind w:right="300" w:hanging="300"/>
        <w:jc w:val="right"/>
      </w:pPr>
      <w:r>
        <w:rPr>
          <w:rFonts w:ascii="Arial" w:eastAsia="Arial" w:hAnsi="Arial"/>
          <w:color w:val="333333"/>
          <w:sz w:val="20"/>
          <w:szCs w:val="20"/>
          <w:rtl/>
        </w:rPr>
        <w:t>يجوز أرشفة البيانات، وتُفحص للتأكّد من إمكانية الوصول والقراءة والسلامة. وعند إجراء تغييرات جوهرية على النظام (كالعتاد أو البرامج) تُضمن وتُختبر القدرة على استرجاع البيانات المؤرشفة. وتُحفَظ السجلات للمدّة التي يتطلّبها ترخيص التسويق والتشريع.</w:t>
      </w:r>
      <w:r>
        <w:rPr>
          <w:rFonts w:ascii="Arial" w:eastAsia="Arial" w:hAnsi="Arial"/>
          <w:b/>
          <w:bCs/>
          <w:color w:val="15512F"/>
          <w:sz w:val="20"/>
          <w:szCs w:val="20"/>
          <w:rtl/>
        </w:rPr>
        <w:t xml:space="preserve">  ⁦</w:t>
      </w:r>
      <w:r>
        <w:rPr>
          <w:rFonts w:ascii="Arial" w:eastAsia="Arial" w:hAnsi="Arial"/>
          <w:b/>
          <w:bCs/>
          <w:color w:val="15512F"/>
          <w:sz w:val="20"/>
          <w:szCs w:val="20"/>
        </w:rPr>
        <w:t>14.2</w:t>
      </w:r>
      <w:r>
        <w:rPr>
          <w:rFonts w:ascii="Arial" w:eastAsia="Arial" w:hAnsi="Arial"/>
          <w:b/>
          <w:bCs/>
          <w:color w:val="15512F"/>
          <w:sz w:val="20"/>
          <w:szCs w:val="20"/>
          <w:rtl/>
        </w:rPr>
        <w:t>⁩</w:t>
      </w:r>
    </w:p>
    <w:p w14:paraId="12B0352D" w14:textId="77777777" w:rsidR="00CD5946" w:rsidRDefault="00000000">
      <w:pPr>
        <w:pStyle w:val="Heading2"/>
        <w:spacing w:before="220"/>
      </w:pPr>
      <w:bookmarkStart w:id="193" w:name="__RefHeading___Toc9543_1729075678"/>
      <w:bookmarkEnd w:id="193"/>
      <w:r>
        <w:t>15.  Glossary (Annex 11)</w:t>
      </w:r>
      <w:r>
        <w:rPr>
          <w:b w:val="0"/>
          <w:bCs w:val="0"/>
          <w:color w:val="1A1A1A"/>
          <w:sz w:val="21"/>
          <w:szCs w:val="21"/>
        </w:rPr>
        <w:t xml:space="preserve">   </w:t>
      </w:r>
      <w:r>
        <w:rPr>
          <w:color w:val="C8A24B"/>
          <w:sz w:val="20"/>
          <w:szCs w:val="20"/>
          <w:rtl/>
        </w:rPr>
        <w:t>مسرد الملحق</w:t>
      </w:r>
      <w:r>
        <w:rPr>
          <w:color w:val="C8A24B"/>
          <w:sz w:val="20"/>
          <w:szCs w:val="20"/>
        </w:rPr>
        <w:t xml:space="preserve"> ⁦11⁩</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600"/>
        <w:gridCol w:w="6760"/>
      </w:tblGrid>
      <w:tr w:rsidR="00CD5946" w14:paraId="503F5781" w14:textId="77777777">
        <w:trPr>
          <w:tblHeader/>
        </w:trPr>
        <w:tc>
          <w:tcPr>
            <w:tcW w:w="2600" w:type="dxa"/>
            <w:tcBorders>
              <w:top w:val="single" w:sz="2" w:space="0" w:color="BFC9C0"/>
              <w:left w:val="single" w:sz="2" w:space="0" w:color="BFC9C0"/>
              <w:bottom w:val="single" w:sz="2" w:space="0" w:color="BFC9C0"/>
              <w:right w:val="single" w:sz="2" w:space="0" w:color="BFC9C0"/>
            </w:tcBorders>
            <w:shd w:val="clear" w:color="auto" w:fill="0E5A50"/>
          </w:tcPr>
          <w:p w14:paraId="0CF4A7E3" w14:textId="77777777" w:rsidR="00CD5946" w:rsidRDefault="00000000">
            <w:pPr>
              <w:spacing w:after="0"/>
            </w:pPr>
            <w:r>
              <w:rPr>
                <w:rFonts w:ascii="Arial" w:eastAsia="Arial" w:hAnsi="Arial"/>
                <w:b/>
                <w:bCs/>
                <w:color w:val="FFFFFF"/>
                <w:sz w:val="18"/>
                <w:szCs w:val="18"/>
              </w:rPr>
              <w:t xml:space="preserve">Term / </w:t>
            </w:r>
            <w:r>
              <w:rPr>
                <w:rFonts w:ascii="Arial" w:eastAsia="Arial" w:hAnsi="Arial"/>
                <w:b/>
                <w:bCs/>
                <w:color w:val="FFFFFF"/>
                <w:sz w:val="18"/>
                <w:szCs w:val="18"/>
                <w:rtl/>
              </w:rPr>
              <w:t>المصطلح</w:t>
            </w:r>
          </w:p>
        </w:tc>
        <w:tc>
          <w:tcPr>
            <w:tcW w:w="6760" w:type="dxa"/>
            <w:tcBorders>
              <w:top w:val="single" w:sz="2" w:space="0" w:color="BFC9C0"/>
              <w:left w:val="single" w:sz="2" w:space="0" w:color="BFC9C0"/>
              <w:bottom w:val="single" w:sz="2" w:space="0" w:color="BFC9C0"/>
              <w:right w:val="single" w:sz="2" w:space="0" w:color="BFC9C0"/>
            </w:tcBorders>
            <w:shd w:val="clear" w:color="auto" w:fill="0E5A50"/>
          </w:tcPr>
          <w:p w14:paraId="20D96D35" w14:textId="77777777" w:rsidR="00CD5946" w:rsidRDefault="00000000">
            <w:pPr>
              <w:spacing w:after="0"/>
            </w:pPr>
            <w:r>
              <w:rPr>
                <w:rFonts w:ascii="Arial" w:eastAsia="Arial" w:hAnsi="Arial"/>
                <w:b/>
                <w:bCs/>
                <w:color w:val="FFFFFF"/>
                <w:sz w:val="18"/>
                <w:szCs w:val="18"/>
              </w:rPr>
              <w:t xml:space="preserve">Definition / </w:t>
            </w:r>
            <w:r>
              <w:rPr>
                <w:rFonts w:ascii="Arial" w:eastAsia="Arial" w:hAnsi="Arial"/>
                <w:b/>
                <w:bCs/>
                <w:color w:val="FFFFFF"/>
                <w:sz w:val="18"/>
                <w:szCs w:val="18"/>
                <w:rtl/>
              </w:rPr>
              <w:t>التعريف</w:t>
            </w:r>
          </w:p>
        </w:tc>
      </w:tr>
      <w:tr w:rsidR="00CD5946" w14:paraId="63504E01"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290CD41E" w14:textId="77777777" w:rsidR="00CD5946" w:rsidRDefault="00000000">
            <w:pPr>
              <w:spacing w:after="0"/>
            </w:pPr>
            <w:r>
              <w:rPr>
                <w:rFonts w:ascii="Arial" w:eastAsia="Arial" w:hAnsi="Arial"/>
                <w:b/>
                <w:bCs/>
                <w:color w:val="15512F"/>
                <w:sz w:val="18"/>
                <w:szCs w:val="18"/>
              </w:rPr>
              <w:t>ALCOA+</w:t>
            </w:r>
          </w:p>
        </w:tc>
        <w:tc>
          <w:tcPr>
            <w:tcW w:w="6760" w:type="dxa"/>
            <w:tcBorders>
              <w:top w:val="single" w:sz="2" w:space="0" w:color="BFC9C0"/>
              <w:left w:val="single" w:sz="2" w:space="0" w:color="BFC9C0"/>
              <w:bottom w:val="single" w:sz="2" w:space="0" w:color="BFC9C0"/>
              <w:right w:val="single" w:sz="2" w:space="0" w:color="BFC9C0"/>
            </w:tcBorders>
            <w:shd w:val="clear" w:color="auto" w:fill="FFFFFF"/>
          </w:tcPr>
          <w:p w14:paraId="6C325E15" w14:textId="77777777" w:rsidR="00CD5946" w:rsidRDefault="00000000">
            <w:pPr>
              <w:spacing w:after="0"/>
            </w:pPr>
            <w:r>
              <w:rPr>
                <w:rFonts w:ascii="Arial" w:eastAsia="Arial" w:hAnsi="Arial"/>
                <w:color w:val="1A1A1A"/>
                <w:sz w:val="18"/>
                <w:szCs w:val="18"/>
              </w:rPr>
              <w:t xml:space="preserve">The attributes of reliable data: Attributable, Legible, Contemporaneous, Original, Accurate — plus Complete, Consistent, Enduring and Available. / </w:t>
            </w:r>
            <w:r>
              <w:rPr>
                <w:rFonts w:ascii="Arial" w:eastAsia="Arial" w:hAnsi="Arial"/>
                <w:color w:val="1A1A1A"/>
                <w:sz w:val="18"/>
                <w:szCs w:val="18"/>
                <w:rtl/>
              </w:rPr>
              <w:t>سمات البيانات الموثوقة</w:t>
            </w:r>
            <w:r>
              <w:rPr>
                <w:rFonts w:ascii="Arial" w:eastAsia="Arial" w:hAnsi="Arial"/>
                <w:color w:val="1A1A1A"/>
                <w:sz w:val="18"/>
                <w:szCs w:val="18"/>
              </w:rPr>
              <w:t>.</w:t>
            </w:r>
          </w:p>
        </w:tc>
      </w:tr>
      <w:tr w:rsidR="00CD5946" w14:paraId="5E3134A4" w14:textId="77777777">
        <w:tc>
          <w:tcPr>
            <w:tcW w:w="2600" w:type="dxa"/>
            <w:tcBorders>
              <w:top w:val="single" w:sz="2" w:space="0" w:color="BFC9C0"/>
              <w:left w:val="single" w:sz="2" w:space="0" w:color="BFC9C0"/>
              <w:bottom w:val="single" w:sz="2" w:space="0" w:color="BFC9C0"/>
              <w:right w:val="single" w:sz="2" w:space="0" w:color="BFC9C0"/>
            </w:tcBorders>
            <w:shd w:val="clear" w:color="auto" w:fill="EEF3F1"/>
          </w:tcPr>
          <w:p w14:paraId="1ACD584E" w14:textId="77777777" w:rsidR="00CD5946" w:rsidRDefault="00000000">
            <w:pPr>
              <w:spacing w:after="0"/>
            </w:pPr>
            <w:r>
              <w:rPr>
                <w:rFonts w:ascii="Arial" w:eastAsia="Arial" w:hAnsi="Arial"/>
                <w:b/>
                <w:bCs/>
                <w:color w:val="15512F"/>
                <w:sz w:val="18"/>
                <w:szCs w:val="18"/>
              </w:rPr>
              <w:t>Audit trail</w:t>
            </w:r>
          </w:p>
        </w:tc>
        <w:tc>
          <w:tcPr>
            <w:tcW w:w="6760" w:type="dxa"/>
            <w:tcBorders>
              <w:top w:val="single" w:sz="2" w:space="0" w:color="BFC9C0"/>
              <w:left w:val="single" w:sz="2" w:space="0" w:color="BFC9C0"/>
              <w:bottom w:val="single" w:sz="2" w:space="0" w:color="BFC9C0"/>
              <w:right w:val="single" w:sz="2" w:space="0" w:color="BFC9C0"/>
            </w:tcBorders>
            <w:shd w:val="clear" w:color="auto" w:fill="EEF3F1"/>
          </w:tcPr>
          <w:p w14:paraId="52C156F1" w14:textId="77777777" w:rsidR="00CD5946" w:rsidRDefault="00000000">
            <w:pPr>
              <w:spacing w:after="0"/>
            </w:pPr>
            <w:r>
              <w:rPr>
                <w:rFonts w:ascii="Arial" w:eastAsia="Arial" w:hAnsi="Arial"/>
                <w:color w:val="1A1A1A"/>
                <w:sz w:val="18"/>
                <w:szCs w:val="18"/>
              </w:rPr>
              <w:t xml:space="preserve">A secure, computer-generated, time-stamped record that allows reconstruction of the course of events relating to the creation, modification or deletion of a record. / </w:t>
            </w:r>
            <w:r>
              <w:rPr>
                <w:rFonts w:ascii="Arial" w:eastAsia="Arial" w:hAnsi="Arial"/>
                <w:color w:val="1A1A1A"/>
                <w:sz w:val="18"/>
                <w:szCs w:val="18"/>
                <w:rtl/>
              </w:rPr>
              <w:t>سجل آمن مؤرّخ يتيح إعادة بناء تسلسل الأحداث</w:t>
            </w:r>
            <w:r>
              <w:rPr>
                <w:rFonts w:ascii="Arial" w:eastAsia="Arial" w:hAnsi="Arial"/>
                <w:color w:val="1A1A1A"/>
                <w:sz w:val="18"/>
                <w:szCs w:val="18"/>
              </w:rPr>
              <w:t>.</w:t>
            </w:r>
          </w:p>
        </w:tc>
      </w:tr>
      <w:tr w:rsidR="00CD5946" w14:paraId="2F4A4487"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20BD504C" w14:textId="77777777" w:rsidR="00CD5946" w:rsidRDefault="00000000">
            <w:pPr>
              <w:spacing w:after="0"/>
            </w:pPr>
            <w:r>
              <w:rPr>
                <w:rFonts w:ascii="Arial" w:eastAsia="Arial" w:hAnsi="Arial"/>
                <w:b/>
                <w:bCs/>
                <w:color w:val="15512F"/>
                <w:sz w:val="18"/>
                <w:szCs w:val="18"/>
              </w:rPr>
              <w:t>Bespoke / customised system</w:t>
            </w:r>
          </w:p>
        </w:tc>
        <w:tc>
          <w:tcPr>
            <w:tcW w:w="6760" w:type="dxa"/>
            <w:tcBorders>
              <w:top w:val="single" w:sz="2" w:space="0" w:color="BFC9C0"/>
              <w:left w:val="single" w:sz="2" w:space="0" w:color="BFC9C0"/>
              <w:bottom w:val="single" w:sz="2" w:space="0" w:color="BFC9C0"/>
              <w:right w:val="single" w:sz="2" w:space="0" w:color="BFC9C0"/>
            </w:tcBorders>
            <w:shd w:val="clear" w:color="auto" w:fill="FFFFFF"/>
          </w:tcPr>
          <w:p w14:paraId="19BE297C" w14:textId="77777777" w:rsidR="00CD5946" w:rsidRDefault="00000000">
            <w:pPr>
              <w:spacing w:after="0"/>
            </w:pPr>
            <w:r>
              <w:rPr>
                <w:rFonts w:ascii="Arial" w:eastAsia="Arial" w:hAnsi="Arial"/>
                <w:color w:val="1A1A1A"/>
                <w:sz w:val="18"/>
                <w:szCs w:val="18"/>
              </w:rPr>
              <w:t xml:space="preserve">A computerised system individually designed to suit a specific business process. / </w:t>
            </w:r>
            <w:r>
              <w:rPr>
                <w:rFonts w:ascii="Arial" w:eastAsia="Arial" w:hAnsi="Arial"/>
                <w:color w:val="1A1A1A"/>
                <w:sz w:val="18"/>
                <w:szCs w:val="18"/>
                <w:rtl/>
              </w:rPr>
              <w:t>نظام مصمّم خصيصاً لعملية محدّدة</w:t>
            </w:r>
            <w:r>
              <w:rPr>
                <w:rFonts w:ascii="Arial" w:eastAsia="Arial" w:hAnsi="Arial"/>
                <w:color w:val="1A1A1A"/>
                <w:sz w:val="18"/>
                <w:szCs w:val="18"/>
              </w:rPr>
              <w:t>.</w:t>
            </w:r>
          </w:p>
        </w:tc>
      </w:tr>
      <w:tr w:rsidR="00CD5946" w14:paraId="7826FD77" w14:textId="77777777">
        <w:tc>
          <w:tcPr>
            <w:tcW w:w="2600" w:type="dxa"/>
            <w:tcBorders>
              <w:top w:val="single" w:sz="2" w:space="0" w:color="BFC9C0"/>
              <w:left w:val="single" w:sz="2" w:space="0" w:color="BFC9C0"/>
              <w:bottom w:val="single" w:sz="2" w:space="0" w:color="BFC9C0"/>
              <w:right w:val="single" w:sz="2" w:space="0" w:color="BFC9C0"/>
            </w:tcBorders>
            <w:shd w:val="clear" w:color="auto" w:fill="EEF3F1"/>
          </w:tcPr>
          <w:p w14:paraId="4F33B7A6" w14:textId="77777777" w:rsidR="00CD5946" w:rsidRDefault="00000000">
            <w:pPr>
              <w:spacing w:after="0"/>
            </w:pPr>
            <w:r>
              <w:rPr>
                <w:rFonts w:ascii="Arial" w:eastAsia="Arial" w:hAnsi="Arial"/>
                <w:b/>
                <w:bCs/>
                <w:color w:val="15512F"/>
                <w:sz w:val="18"/>
                <w:szCs w:val="18"/>
              </w:rPr>
              <w:lastRenderedPageBreak/>
              <w:t>Data integrity</w:t>
            </w:r>
          </w:p>
        </w:tc>
        <w:tc>
          <w:tcPr>
            <w:tcW w:w="6760" w:type="dxa"/>
            <w:tcBorders>
              <w:top w:val="single" w:sz="2" w:space="0" w:color="BFC9C0"/>
              <w:left w:val="single" w:sz="2" w:space="0" w:color="BFC9C0"/>
              <w:bottom w:val="single" w:sz="2" w:space="0" w:color="BFC9C0"/>
              <w:right w:val="single" w:sz="2" w:space="0" w:color="BFC9C0"/>
            </w:tcBorders>
            <w:shd w:val="clear" w:color="auto" w:fill="EEF3F1"/>
          </w:tcPr>
          <w:p w14:paraId="0E193586" w14:textId="77777777" w:rsidR="00CD5946" w:rsidRDefault="00000000">
            <w:pPr>
              <w:spacing w:after="0"/>
            </w:pPr>
            <w:r>
              <w:rPr>
                <w:rFonts w:ascii="Arial" w:eastAsia="Arial" w:hAnsi="Arial"/>
                <w:color w:val="1A1A1A"/>
                <w:sz w:val="18"/>
                <w:szCs w:val="18"/>
              </w:rPr>
              <w:t xml:space="preserve">The degree to which data are complete, consistent, accurate, trustworthy and reliable throughout the data lifecycle. / </w:t>
            </w:r>
            <w:r>
              <w:rPr>
                <w:rFonts w:ascii="Arial" w:eastAsia="Arial" w:hAnsi="Arial"/>
                <w:color w:val="1A1A1A"/>
                <w:sz w:val="18"/>
                <w:szCs w:val="18"/>
                <w:rtl/>
              </w:rPr>
              <w:t>درجة اكتمال البيانات واتساقها ودقّتها وموثوقيتها</w:t>
            </w:r>
            <w:r>
              <w:rPr>
                <w:rFonts w:ascii="Arial" w:eastAsia="Arial" w:hAnsi="Arial"/>
                <w:color w:val="1A1A1A"/>
                <w:sz w:val="18"/>
                <w:szCs w:val="18"/>
              </w:rPr>
              <w:t>.</w:t>
            </w:r>
          </w:p>
        </w:tc>
      </w:tr>
      <w:tr w:rsidR="00CD5946" w14:paraId="1794897E"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0AD6A962" w14:textId="77777777" w:rsidR="00CD5946" w:rsidRDefault="00000000">
            <w:pPr>
              <w:spacing w:after="0"/>
            </w:pPr>
            <w:r>
              <w:rPr>
                <w:rFonts w:ascii="Arial" w:eastAsia="Arial" w:hAnsi="Arial"/>
                <w:b/>
                <w:bCs/>
                <w:color w:val="15512F"/>
                <w:sz w:val="18"/>
                <w:szCs w:val="18"/>
              </w:rPr>
              <w:t>GAMP 5</w:t>
            </w:r>
          </w:p>
        </w:tc>
        <w:tc>
          <w:tcPr>
            <w:tcW w:w="6760" w:type="dxa"/>
            <w:tcBorders>
              <w:top w:val="single" w:sz="2" w:space="0" w:color="BFC9C0"/>
              <w:left w:val="single" w:sz="2" w:space="0" w:color="BFC9C0"/>
              <w:bottom w:val="single" w:sz="2" w:space="0" w:color="BFC9C0"/>
              <w:right w:val="single" w:sz="2" w:space="0" w:color="BFC9C0"/>
            </w:tcBorders>
            <w:shd w:val="clear" w:color="auto" w:fill="FFFFFF"/>
          </w:tcPr>
          <w:p w14:paraId="682CBE7C" w14:textId="77777777" w:rsidR="00CD5946" w:rsidRDefault="00000000">
            <w:pPr>
              <w:spacing w:after="0"/>
            </w:pPr>
            <w:r>
              <w:rPr>
                <w:rFonts w:ascii="Arial" w:eastAsia="Arial" w:hAnsi="Arial"/>
                <w:color w:val="1A1A1A"/>
                <w:sz w:val="18"/>
                <w:szCs w:val="18"/>
              </w:rPr>
              <w:t xml:space="preserve">ISPE’s risk-based guidance for a lifecycle approach to the validation of computerised systems, scaled to software category. / </w:t>
            </w:r>
            <w:r>
              <w:rPr>
                <w:rFonts w:ascii="Arial" w:eastAsia="Arial" w:hAnsi="Arial"/>
                <w:color w:val="1A1A1A"/>
                <w:sz w:val="18"/>
                <w:szCs w:val="18"/>
                <w:rtl/>
              </w:rPr>
              <w:t>إرشاد قائم على المخاطر لدورة حياة التحقّق</w:t>
            </w:r>
            <w:r>
              <w:rPr>
                <w:rFonts w:ascii="Arial" w:eastAsia="Arial" w:hAnsi="Arial"/>
                <w:color w:val="1A1A1A"/>
                <w:sz w:val="18"/>
                <w:szCs w:val="18"/>
              </w:rPr>
              <w:t>.</w:t>
            </w:r>
          </w:p>
        </w:tc>
      </w:tr>
      <w:tr w:rsidR="00CD5946" w14:paraId="4D7803CB" w14:textId="77777777">
        <w:tc>
          <w:tcPr>
            <w:tcW w:w="2600" w:type="dxa"/>
            <w:tcBorders>
              <w:top w:val="single" w:sz="2" w:space="0" w:color="BFC9C0"/>
              <w:left w:val="single" w:sz="2" w:space="0" w:color="BFC9C0"/>
              <w:bottom w:val="single" w:sz="2" w:space="0" w:color="BFC9C0"/>
              <w:right w:val="single" w:sz="2" w:space="0" w:color="BFC9C0"/>
            </w:tcBorders>
            <w:shd w:val="clear" w:color="auto" w:fill="EEF3F1"/>
          </w:tcPr>
          <w:p w14:paraId="386B7693" w14:textId="77777777" w:rsidR="00CD5946" w:rsidRDefault="00000000">
            <w:pPr>
              <w:spacing w:after="0"/>
            </w:pPr>
            <w:r>
              <w:rPr>
                <w:rFonts w:ascii="Arial" w:eastAsia="Arial" w:hAnsi="Arial"/>
                <w:b/>
                <w:bCs/>
                <w:color w:val="15512F"/>
                <w:sz w:val="18"/>
                <w:szCs w:val="18"/>
              </w:rPr>
              <w:t>IT infrastructure</w:t>
            </w:r>
          </w:p>
        </w:tc>
        <w:tc>
          <w:tcPr>
            <w:tcW w:w="6760" w:type="dxa"/>
            <w:tcBorders>
              <w:top w:val="single" w:sz="2" w:space="0" w:color="BFC9C0"/>
              <w:left w:val="single" w:sz="2" w:space="0" w:color="BFC9C0"/>
              <w:bottom w:val="single" w:sz="2" w:space="0" w:color="BFC9C0"/>
              <w:right w:val="single" w:sz="2" w:space="0" w:color="BFC9C0"/>
            </w:tcBorders>
            <w:shd w:val="clear" w:color="auto" w:fill="EEF3F1"/>
          </w:tcPr>
          <w:p w14:paraId="0DB0AA0A" w14:textId="77777777" w:rsidR="00CD5946" w:rsidRDefault="00000000">
            <w:pPr>
              <w:spacing w:after="0"/>
            </w:pPr>
            <w:r>
              <w:rPr>
                <w:rFonts w:ascii="Arial" w:eastAsia="Arial" w:hAnsi="Arial"/>
                <w:color w:val="1A1A1A"/>
                <w:sz w:val="18"/>
                <w:szCs w:val="18"/>
              </w:rPr>
              <w:t xml:space="preserve">The hardware and software, such as networking, that establishes the platform on which the application operates; it is qualified rather than validated. / </w:t>
            </w:r>
            <w:r>
              <w:rPr>
                <w:rFonts w:ascii="Arial" w:eastAsia="Arial" w:hAnsi="Arial"/>
                <w:color w:val="1A1A1A"/>
                <w:sz w:val="18"/>
                <w:szCs w:val="18"/>
                <w:rtl/>
              </w:rPr>
              <w:t>العتاد والبرمجيات التي تُؤهّل بدلاً من التحقّق</w:t>
            </w:r>
            <w:r>
              <w:rPr>
                <w:rFonts w:ascii="Arial" w:eastAsia="Arial" w:hAnsi="Arial"/>
                <w:color w:val="1A1A1A"/>
                <w:sz w:val="18"/>
                <w:szCs w:val="18"/>
              </w:rPr>
              <w:t>.</w:t>
            </w:r>
          </w:p>
        </w:tc>
      </w:tr>
    </w:tbl>
    <w:p w14:paraId="10366B80" w14:textId="77777777" w:rsidR="00CD5946" w:rsidRDefault="00000000">
      <w:pPr>
        <w:spacing w:before="260" w:after="0"/>
        <w:jc w:val="center"/>
      </w:pPr>
      <w:r>
        <w:rPr>
          <w:noProof/>
        </w:rPr>
        <w:drawing>
          <wp:inline distT="0" distB="0" distL="0" distR="0" wp14:anchorId="257666CF" wp14:editId="4A52D942">
            <wp:extent cx="876300" cy="1238250"/>
            <wp:effectExtent l="0" t="0" r="0" b="0"/>
            <wp:docPr id="13" name="Image12"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2"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12C6BE6E" w14:textId="77777777" w:rsidR="00CD5946" w:rsidRDefault="00000000">
      <w:pPr>
        <w:spacing w:before="50" w:after="0"/>
        <w:jc w:val="center"/>
      </w:pPr>
      <w:r>
        <w:rPr>
          <w:rFonts w:ascii="Arial" w:eastAsia="Arial" w:hAnsi="Arial"/>
          <w:b/>
          <w:bCs/>
          <w:color w:val="15512F"/>
          <w:sz w:val="19"/>
          <w:szCs w:val="19"/>
        </w:rPr>
        <w:t>AUPAM EXPERTS' OFFICE</w:t>
      </w:r>
    </w:p>
    <w:p w14:paraId="6D844CE3"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078692E2" w14:textId="77777777" w:rsidR="00CD5946" w:rsidRDefault="00000000">
      <w:pPr>
        <w:spacing w:before="10" w:after="0"/>
        <w:jc w:val="center"/>
      </w:pPr>
      <w:r>
        <w:rPr>
          <w:rFonts w:ascii="Arial" w:eastAsia="Arial" w:hAnsi="Arial"/>
          <w:b/>
          <w:bCs/>
          <w:color w:val="B08C37"/>
          <w:sz w:val="24"/>
          <w:szCs w:val="24"/>
        </w:rPr>
        <w:t>2026 EDITION</w:t>
      </w:r>
    </w:p>
    <w:p w14:paraId="50BDA9AA" w14:textId="77777777" w:rsidR="00CD5946" w:rsidRDefault="00000000">
      <w:pPr>
        <w:spacing w:before="260" w:after="0"/>
        <w:jc w:val="center"/>
      </w:pPr>
      <w:r>
        <w:rPr>
          <w:rFonts w:ascii="Arial" w:eastAsia="Arial" w:hAnsi="Arial"/>
          <w:b/>
          <w:bCs/>
          <w:color w:val="15512F"/>
          <w:sz w:val="54"/>
          <w:szCs w:val="54"/>
        </w:rPr>
        <w:t>ANNEX 13</w:t>
      </w:r>
    </w:p>
    <w:p w14:paraId="1722B621" w14:textId="77777777" w:rsidR="00CD5946" w:rsidRDefault="00000000">
      <w:pPr>
        <w:spacing w:before="40" w:after="0"/>
        <w:jc w:val="center"/>
      </w:pPr>
      <w:r>
        <w:rPr>
          <w:rFonts w:ascii="Arial" w:eastAsia="Arial" w:hAnsi="Arial"/>
          <w:b/>
          <w:bCs/>
          <w:color w:val="1A1A1A"/>
          <w:sz w:val="28"/>
          <w:szCs w:val="28"/>
        </w:rPr>
        <w:t>Investigational Medicinal Products</w:t>
      </w:r>
    </w:p>
    <w:p w14:paraId="29B1BB86" w14:textId="77777777" w:rsidR="00CD5946" w:rsidRDefault="00000000">
      <w:pPr>
        <w:spacing w:before="16" w:after="0"/>
        <w:jc w:val="center"/>
      </w:pPr>
      <w:r>
        <w:rPr>
          <w:rFonts w:ascii="Arial" w:eastAsia="Arial" w:hAnsi="Arial"/>
          <w:color w:val="5A5A5A"/>
          <w:sz w:val="22"/>
          <w:szCs w:val="22"/>
        </w:rPr>
        <w:t>PSF · blinding · labelling · QP release · EN | AR</w:t>
      </w:r>
    </w:p>
    <w:p w14:paraId="2273CB9D" w14:textId="77777777" w:rsidR="00CD5946" w:rsidRDefault="00000000">
      <w:pPr>
        <w:spacing w:before="26" w:after="0"/>
        <w:jc w:val="center"/>
      </w:pPr>
      <w:r>
        <w:rPr>
          <w:rFonts w:ascii="Arial" w:eastAsia="Arial" w:hAnsi="Arial"/>
          <w:b/>
          <w:bCs/>
          <w:color w:val="15512F"/>
          <w:sz w:val="22"/>
          <w:szCs w:val="22"/>
          <w:rtl/>
        </w:rPr>
        <w:t>الملحق ⁦</w:t>
      </w:r>
      <w:r>
        <w:rPr>
          <w:rFonts w:ascii="Arial" w:eastAsia="Arial" w:hAnsi="Arial"/>
          <w:b/>
          <w:bCs/>
          <w:color w:val="15512F"/>
          <w:sz w:val="22"/>
          <w:szCs w:val="22"/>
        </w:rPr>
        <w:t>13 —</w:t>
      </w:r>
      <w:r>
        <w:rPr>
          <w:rFonts w:ascii="Arial" w:eastAsia="Arial" w:hAnsi="Arial"/>
          <w:b/>
          <w:bCs/>
          <w:color w:val="15512F"/>
          <w:sz w:val="22"/>
          <w:szCs w:val="22"/>
          <w:rtl/>
        </w:rPr>
        <w:t>⁩ المنتجات قيد البحث</w:t>
      </w:r>
    </w:p>
    <w:p w14:paraId="4F5707E6"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58D6CF6E" w14:textId="77777777" w:rsidR="00CD5946" w:rsidRDefault="00000000">
      <w:r>
        <w:br w:type="page"/>
      </w:r>
    </w:p>
    <w:p w14:paraId="43E096BD" w14:textId="77777777" w:rsidR="00CD5946" w:rsidRDefault="00000000">
      <w:pPr>
        <w:pStyle w:val="Heading1"/>
        <w:spacing w:before="0"/>
      </w:pPr>
      <w:bookmarkStart w:id="194" w:name="__RefHeading___Toc9545_1729075678"/>
      <w:bookmarkEnd w:id="194"/>
      <w:r>
        <w:lastRenderedPageBreak/>
        <w:t>Contents</w:t>
      </w:r>
    </w:p>
    <w:sdt>
      <w:sdtPr>
        <w:id w:val="-1225517690"/>
        <w:docPartObj>
          <w:docPartGallery w:val="Table of Contents"/>
          <w:docPartUnique/>
        </w:docPartObj>
      </w:sdtPr>
      <w:sdtContent>
        <w:p w14:paraId="1A039A18"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173B3E7F"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56D95551"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6AAAF3B1"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3B53C363"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177B90FF"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7A764CEB"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2771BBBF"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513C6946"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159F88EF"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2454FEE2"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6BC2F792"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31A08337"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75D6B376"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48AFB7F1"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18307EFB"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17842247"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4323AF05"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4AFE399E"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15F54455"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7D4B33DD"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49118DF6"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417FE6C4"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62C4C338"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31822944"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6975DB16"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6962BC79"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0BE553DD"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77CEF9F5"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5A582071"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01E17362"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41143265"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3EDE2496"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6B2E5B71"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6C76ECCB"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29671392"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72668A33"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62D0AF46"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7AE10E3B"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26EBECAA"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43E2F9B8"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7592D804"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1D75F8EE"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51DB9674"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7027D1BB"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42A5DADC"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6FCA015C"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33A325A7"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14E83BA2"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2C445FAA"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5616BDDF"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417EE7EF"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3C948016"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280291AD"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059B70D8"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3744BD86"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63279A37"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01541656"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11E9995E"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49AD6080"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1B5BDA11"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2DC98BF4"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280AD7F3"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430B439E"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222DE309"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556B938E"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1B088CC6"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320D47C5"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4287211D"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550E397D"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1DC05617"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76B3767C"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5DD573D9"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60CA2EF6" w14:textId="77777777" w:rsidR="00CD5946" w:rsidRDefault="00CD5946"/>
    <w:p w14:paraId="4778791F" w14:textId="77777777" w:rsidR="00CD5946" w:rsidRDefault="00000000">
      <w:pPr>
        <w:pStyle w:val="Heading1"/>
      </w:pPr>
      <w:bookmarkStart w:id="195" w:name="__RefHeading___Toc9547_1729075678"/>
      <w:bookmarkEnd w:id="195"/>
      <w:r>
        <w:t xml:space="preserve">Annex 13 — Investigational Medicinal Products  ·  </w:t>
      </w:r>
      <w:r>
        <w:rPr>
          <w:rtl/>
        </w:rPr>
        <w:t xml:space="preserve">الملحق </w:t>
      </w:r>
      <w:r>
        <w:t>13</w:t>
      </w:r>
      <w:r>
        <w:rPr>
          <w:rtl/>
        </w:rPr>
        <w:t xml:space="preserve"> — المنتجات الدوائية قيد البحث</w:t>
      </w:r>
    </w:p>
    <w:p w14:paraId="73CB675C" w14:textId="77777777" w:rsidR="00CD5946" w:rsidRDefault="00000000">
      <w:pPr>
        <w:spacing w:before="10" w:after="150"/>
      </w:pPr>
      <w:r>
        <w:rPr>
          <w:rFonts w:ascii="Arial" w:eastAsia="Arial" w:hAnsi="Arial"/>
          <w:b/>
          <w:bCs/>
          <w:color w:val="C8A24B"/>
          <w:sz w:val="17"/>
          <w:szCs w:val="17"/>
        </w:rPr>
        <w:t xml:space="preserve">Harmonised with: </w:t>
      </w:r>
      <w:r>
        <w:rPr>
          <w:rFonts w:ascii="Arial" w:eastAsia="Arial" w:hAnsi="Arial"/>
          <w:i/>
          <w:iCs/>
          <w:color w:val="5A5A5A"/>
          <w:sz w:val="17"/>
          <w:szCs w:val="17"/>
        </w:rPr>
        <w:t>PIC/S PE 009-17 Annex 13 · Commission Delegated Regulation (EU) 2017/1569 and Detailed Commission guideline C(2017) 8179 (GMP for IMPs under Regulation (EU) 536/2014) · SFDA GMP Guide v4.4 · ICH E6(R3) GCP (2025) · ICH Q9(R1) · WHO TRS 1044 Annex 7 (GMP for investigational products)</w:t>
      </w:r>
    </w:p>
    <w:p w14:paraId="5D49311A" w14:textId="77777777" w:rsidR="00CD5946" w:rsidRDefault="00000000">
      <w:pPr>
        <w:pBdr>
          <w:left w:val="single" w:sz="16" w:space="8" w:color="C8A24B"/>
        </w:pBdr>
        <w:spacing w:after="40"/>
        <w:ind w:left="160"/>
      </w:pPr>
      <w:r>
        <w:rPr>
          <w:rFonts w:ascii="Arial" w:eastAsia="Arial" w:hAnsi="Arial"/>
          <w:b/>
          <w:bCs/>
          <w:color w:val="C8A24B"/>
        </w:rPr>
        <w:t xml:space="preserve">Principle.  </w:t>
      </w:r>
      <w:r>
        <w:rPr>
          <w:rFonts w:ascii="Arial" w:eastAsia="Arial" w:hAnsi="Arial"/>
          <w:color w:val="1A1A1A"/>
        </w:rPr>
        <w:t>Investigational medicinal products (IMPs) shall be produced in accordance with GMP. Particular attention shall be paid to the complexity that arises because the process is not standardised, because clinical-trial designs require randomisation and blinding, and because knowledge of the potency and safety profile of the product may be incomplete. The blinding of products and the maintenance of the randomisation code, the comparability of test and reference products, and full traceability and reconciliation of every unit are central concerns. Procedures shall be adaptable as knowledge of the process increases, yet remain fully documented and controlled, and shall protect the integrity of the clinical trial and the safety of the trial subjects.</w:t>
      </w:r>
    </w:p>
    <w:p w14:paraId="5BED95E0" w14:textId="77777777" w:rsidR="00CD5946" w:rsidRDefault="00000000">
      <w:pPr>
        <w:bidi/>
        <w:spacing w:after="150"/>
        <w:ind w:right="160"/>
        <w:jc w:val="right"/>
      </w:pPr>
      <w:r>
        <w:rPr>
          <w:rFonts w:ascii="Arial" w:eastAsia="Arial" w:hAnsi="Arial"/>
          <w:b/>
          <w:bCs/>
          <w:color w:val="C8A24B"/>
          <w:sz w:val="20"/>
          <w:szCs w:val="20"/>
          <w:rtl/>
        </w:rPr>
        <w:t xml:space="preserve">المبدأ. </w:t>
      </w:r>
      <w:r>
        <w:rPr>
          <w:rFonts w:ascii="Arial" w:eastAsia="Arial" w:hAnsi="Arial"/>
          <w:color w:val="333333"/>
          <w:sz w:val="20"/>
          <w:szCs w:val="20"/>
          <w:rtl/>
        </w:rPr>
        <w:t>تُنتَج المنتجات الدوائية قيد البحث (</w:t>
      </w:r>
      <w:r>
        <w:rPr>
          <w:rFonts w:ascii="Arial" w:eastAsia="Arial" w:hAnsi="Arial"/>
          <w:color w:val="333333"/>
          <w:sz w:val="20"/>
          <w:szCs w:val="20"/>
        </w:rPr>
        <w:t>IMPs</w:t>
      </w:r>
      <w:r>
        <w:rPr>
          <w:rFonts w:ascii="Arial" w:eastAsia="Arial" w:hAnsi="Arial"/>
          <w:color w:val="333333"/>
          <w:sz w:val="20"/>
          <w:szCs w:val="20"/>
          <w:rtl/>
        </w:rPr>
        <w:t xml:space="preserve">) وفق </w:t>
      </w:r>
      <w:r>
        <w:rPr>
          <w:rFonts w:ascii="Arial" w:eastAsia="Arial" w:hAnsi="Arial"/>
          <w:color w:val="333333"/>
          <w:sz w:val="20"/>
          <w:szCs w:val="20"/>
        </w:rPr>
        <w:t>GMP</w:t>
      </w:r>
      <w:r>
        <w:rPr>
          <w:rFonts w:ascii="Arial" w:eastAsia="Arial" w:hAnsi="Arial"/>
          <w:color w:val="333333"/>
          <w:sz w:val="20"/>
          <w:szCs w:val="20"/>
          <w:rtl/>
        </w:rPr>
        <w:t>. ويُولى اهتمام خاص للتعقيد الناشئ عن عدم قياسية العملية، وحاجة تصاميم التجارب إلى العشوائية والتعمية، واحتمال نقص المعرفة بفعالية المنتج وسلامته. وتُعدّ تعمية المنتجات وحفظ شفرة العشوائية، وقابلية المقارنة بين المنتج المختبر والمرجعي، والتتبّع والمطابقة الكاملة لكل وحدة أموراً محورية. وتكون الإجراءات قابلة للتكيّف مع تزايد المعرفة مع بقائها موثّقة ومضبوطة، وتحمي سلامة التجربة والمشاركين.</w:t>
      </w:r>
    </w:p>
    <w:p w14:paraId="449B8DA3" w14:textId="77777777" w:rsidR="00CD5946" w:rsidRDefault="00000000">
      <w:pPr>
        <w:pBdr>
          <w:left w:val="single" w:sz="10" w:space="8" w:color="CFCFCF"/>
        </w:pBdr>
        <w:spacing w:before="60" w:after="30"/>
        <w:ind w:left="160"/>
      </w:pPr>
      <w:r>
        <w:rPr>
          <w:rFonts w:ascii="Arial" w:eastAsia="Arial" w:hAnsi="Arial"/>
          <w:b/>
          <w:bCs/>
          <w:color w:val="15512F"/>
          <w:sz w:val="20"/>
          <w:szCs w:val="20"/>
        </w:rPr>
        <w:t xml:space="preserve">Scope.  </w:t>
      </w:r>
      <w:r>
        <w:rPr>
          <w:rFonts w:ascii="Arial" w:eastAsia="Arial" w:hAnsi="Arial"/>
          <w:color w:val="1A1A1A"/>
          <w:sz w:val="20"/>
          <w:szCs w:val="20"/>
        </w:rPr>
        <w:t>This Annex applies to the manufacture, importation, packaging, labelling, quality control, release, shipping and return of investigational medicinal products for use in clinical trials, including comparators and placebos. It is read together with Part I and with ICH E6 (GCP). It does not cover the conduct of the clinical trial itself, which is governed by GCP and the applicable clinical-trial legislation.</w:t>
      </w:r>
    </w:p>
    <w:p w14:paraId="1E958933" w14:textId="77777777" w:rsidR="00CD5946" w:rsidRDefault="00000000">
      <w:pPr>
        <w:bidi/>
        <w:spacing w:after="150"/>
        <w:ind w:right="160"/>
        <w:jc w:val="right"/>
      </w:pPr>
      <w:r>
        <w:rPr>
          <w:rFonts w:ascii="Arial" w:eastAsia="Arial" w:hAnsi="Arial"/>
          <w:b/>
          <w:bCs/>
          <w:color w:val="15512F"/>
          <w:sz w:val="20"/>
          <w:szCs w:val="20"/>
          <w:rtl/>
        </w:rPr>
        <w:t xml:space="preserve">النطاق. </w:t>
      </w:r>
      <w:r>
        <w:rPr>
          <w:rFonts w:ascii="Arial" w:eastAsia="Arial" w:hAnsi="Arial"/>
          <w:color w:val="333333"/>
          <w:sz w:val="20"/>
          <w:szCs w:val="20"/>
          <w:rtl/>
        </w:rPr>
        <w:t>ينطبق هذا الملحق على تصنيع واستيراد وتعبئة ووسم ومراقبة جودة وإفراج وشحن وإرجاع المنتجات قيد البحث للتجارب السريرية، بما فيها المقارِنات والغفل. ويُقرأ مع الجزء الأول و</w:t>
      </w:r>
      <w:r>
        <w:rPr>
          <w:rFonts w:ascii="Arial" w:eastAsia="Arial" w:hAnsi="Arial"/>
          <w:color w:val="333333"/>
          <w:sz w:val="20"/>
          <w:szCs w:val="20"/>
        </w:rPr>
        <w:t>ICH E</w:t>
      </w:r>
      <w:r>
        <w:rPr>
          <w:rFonts w:ascii="Arial" w:eastAsia="Arial" w:hAnsi="Arial"/>
          <w:color w:val="333333"/>
          <w:sz w:val="20"/>
          <w:szCs w:val="20"/>
          <w:rtl/>
        </w:rPr>
        <w:t>⁦</w:t>
      </w:r>
      <w:r>
        <w:rPr>
          <w:rFonts w:ascii="Arial" w:eastAsia="Arial" w:hAnsi="Arial"/>
          <w:color w:val="333333"/>
          <w:sz w:val="20"/>
          <w:szCs w:val="20"/>
        </w:rPr>
        <w:t>6.</w:t>
      </w:r>
      <w:r>
        <w:rPr>
          <w:rFonts w:ascii="Arial" w:eastAsia="Arial" w:hAnsi="Arial"/>
          <w:color w:val="333333"/>
          <w:sz w:val="20"/>
          <w:szCs w:val="20"/>
          <w:rtl/>
        </w:rPr>
        <w:t xml:space="preserve">⁩ ولا يغطّي إجراء التجربة نفسها التي تحكمها </w:t>
      </w:r>
      <w:r>
        <w:rPr>
          <w:rFonts w:ascii="Arial" w:eastAsia="Arial" w:hAnsi="Arial"/>
          <w:color w:val="333333"/>
          <w:sz w:val="20"/>
          <w:szCs w:val="20"/>
        </w:rPr>
        <w:t>GCP</w:t>
      </w:r>
      <w:r>
        <w:rPr>
          <w:rFonts w:ascii="Arial" w:eastAsia="Arial" w:hAnsi="Arial"/>
          <w:color w:val="333333"/>
          <w:sz w:val="20"/>
          <w:szCs w:val="20"/>
          <w:rtl/>
        </w:rPr>
        <w:t xml:space="preserve"> والتشريعات.</w:t>
      </w:r>
    </w:p>
    <w:p w14:paraId="69BD1AFA" w14:textId="77777777" w:rsidR="00CD5946" w:rsidRDefault="00000000">
      <w:pPr>
        <w:pStyle w:val="Heading2"/>
        <w:spacing w:before="220"/>
      </w:pPr>
      <w:bookmarkStart w:id="196" w:name="__RefHeading___Toc9549_1729075678"/>
      <w:bookmarkEnd w:id="196"/>
      <w:r>
        <w:t>1.  Pharmaceutical Quality System and documentation</w:t>
      </w:r>
      <w:r>
        <w:rPr>
          <w:b w:val="0"/>
          <w:bCs w:val="0"/>
          <w:color w:val="1A1A1A"/>
          <w:sz w:val="21"/>
          <w:szCs w:val="21"/>
        </w:rPr>
        <w:t xml:space="preserve">   </w:t>
      </w:r>
      <w:r>
        <w:rPr>
          <w:color w:val="C8A24B"/>
          <w:sz w:val="20"/>
          <w:szCs w:val="20"/>
          <w:rtl/>
        </w:rPr>
        <w:t>نظام الجودة والتوثيق</w:t>
      </w:r>
    </w:p>
    <w:p w14:paraId="16C0E488" w14:textId="77777777" w:rsidR="00CD5946" w:rsidRDefault="00000000">
      <w:pPr>
        <w:spacing w:after="40" w:line="266" w:lineRule="auto"/>
        <w:ind w:left="300" w:hanging="300"/>
      </w:pPr>
      <w:r>
        <w:rPr>
          <w:rFonts w:ascii="Arial" w:eastAsia="Arial" w:hAnsi="Arial"/>
          <w:b/>
          <w:bCs/>
          <w:color w:val="15512F"/>
        </w:rPr>
        <w:lastRenderedPageBreak/>
        <w:t xml:space="preserve">13.1  </w:t>
      </w:r>
      <w:r>
        <w:rPr>
          <w:rFonts w:ascii="Arial" w:eastAsia="Arial" w:hAnsi="Arial"/>
          <w:color w:val="1A1A1A"/>
        </w:rPr>
        <w:t>The Product Specification File (PSF) shall be established and continually updated as development proceeds, ensuring traceability to the previous versions. It shall contain, or refer to, the specifications and analytical methods for materials and product; the manufacturing and packaging methods; the QC procedures; the release procedure; shipping conditions; storage conditions; and, where relevant, the labelling and the randomisation/blinding arrangements. The information shall form an adequate basis for the assessment and certification by the Authorised/Qualified Person.</w:t>
      </w:r>
    </w:p>
    <w:p w14:paraId="010BE49E" w14:textId="77777777" w:rsidR="00CD5946" w:rsidRDefault="00000000">
      <w:pPr>
        <w:bidi/>
        <w:spacing w:after="150" w:line="300" w:lineRule="auto"/>
        <w:ind w:right="300" w:hanging="300"/>
        <w:jc w:val="right"/>
      </w:pPr>
      <w:r>
        <w:rPr>
          <w:rFonts w:ascii="Arial" w:eastAsia="Arial" w:hAnsi="Arial"/>
          <w:color w:val="333333"/>
          <w:sz w:val="20"/>
          <w:szCs w:val="20"/>
          <w:rtl/>
        </w:rPr>
        <w:t>يُنشأ ملف مواصفات المنتج (</w:t>
      </w:r>
      <w:r>
        <w:rPr>
          <w:rFonts w:ascii="Arial" w:eastAsia="Arial" w:hAnsi="Arial"/>
          <w:color w:val="333333"/>
          <w:sz w:val="20"/>
          <w:szCs w:val="20"/>
        </w:rPr>
        <w:t>PSF</w:t>
      </w:r>
      <w:r>
        <w:rPr>
          <w:rFonts w:ascii="Arial" w:eastAsia="Arial" w:hAnsi="Arial"/>
          <w:color w:val="333333"/>
          <w:sz w:val="20"/>
          <w:szCs w:val="20"/>
          <w:rtl/>
        </w:rPr>
        <w:t>) ويُحدّث باستمرار مع تقدّم التطوير، مع تتبّع الإصدارات السابقة. ويحوي أو يُحيل إلى: مواصفات وطرائق تحليل المواد والمنتج؛ وطرائق التصنيع والتعبئة؛ وإجراءات مراقبة الجودة والإفراج؛ وظروف الشحن والتخزين؛ وترتيبات الوسم والعشوائية/التعمية. ويشكّل أساساً كافياً لتقييم واعتماد الشخص المؤهّل.</w:t>
      </w:r>
      <w:r>
        <w:rPr>
          <w:rFonts w:ascii="Arial" w:eastAsia="Arial" w:hAnsi="Arial"/>
          <w:b/>
          <w:bCs/>
          <w:color w:val="15512F"/>
          <w:sz w:val="20"/>
          <w:szCs w:val="20"/>
          <w:rtl/>
        </w:rPr>
        <w:t xml:space="preserve">  ⁦</w:t>
      </w:r>
      <w:r>
        <w:rPr>
          <w:rFonts w:ascii="Arial" w:eastAsia="Arial" w:hAnsi="Arial"/>
          <w:b/>
          <w:bCs/>
          <w:color w:val="15512F"/>
          <w:sz w:val="20"/>
          <w:szCs w:val="20"/>
        </w:rPr>
        <w:t>13.1</w:t>
      </w:r>
      <w:r>
        <w:rPr>
          <w:rFonts w:ascii="Arial" w:eastAsia="Arial" w:hAnsi="Arial"/>
          <w:b/>
          <w:bCs/>
          <w:color w:val="15512F"/>
          <w:sz w:val="20"/>
          <w:szCs w:val="20"/>
          <w:rtl/>
        </w:rPr>
        <w:t>⁩</w:t>
      </w:r>
    </w:p>
    <w:p w14:paraId="404E1F25" w14:textId="77777777" w:rsidR="00CD5946" w:rsidRDefault="00000000">
      <w:pPr>
        <w:pStyle w:val="Heading2"/>
        <w:spacing w:before="220"/>
      </w:pPr>
      <w:bookmarkStart w:id="197" w:name="__RefHeading___Toc9551_1729075678"/>
      <w:bookmarkEnd w:id="197"/>
      <w:r>
        <w:t>2.  Production, blinding and comparators</w:t>
      </w:r>
      <w:r>
        <w:rPr>
          <w:b w:val="0"/>
          <w:bCs w:val="0"/>
          <w:color w:val="1A1A1A"/>
          <w:sz w:val="21"/>
          <w:szCs w:val="21"/>
        </w:rPr>
        <w:t xml:space="preserve">   </w:t>
      </w:r>
      <w:r>
        <w:rPr>
          <w:color w:val="C8A24B"/>
          <w:sz w:val="20"/>
          <w:szCs w:val="20"/>
          <w:rtl/>
        </w:rPr>
        <w:t>الإنتاج والتعمية والمقارِنات</w:t>
      </w:r>
    </w:p>
    <w:p w14:paraId="100DAC8E" w14:textId="77777777" w:rsidR="00CD5946" w:rsidRDefault="00000000">
      <w:pPr>
        <w:spacing w:after="40" w:line="266" w:lineRule="auto"/>
        <w:ind w:left="300" w:hanging="300"/>
      </w:pPr>
      <w:r>
        <w:rPr>
          <w:rFonts w:ascii="Arial" w:eastAsia="Arial" w:hAnsi="Arial"/>
          <w:b/>
          <w:bCs/>
          <w:color w:val="15512F"/>
        </w:rPr>
        <w:t xml:space="preserve">13.2  </w:t>
      </w:r>
      <w:r>
        <w:rPr>
          <w:rFonts w:ascii="Arial" w:eastAsia="Arial" w:hAnsi="Arial"/>
          <w:color w:val="1A1A1A"/>
        </w:rPr>
        <w:t>Operations such as blinding and the preparation of randomised packs shall be controlled and documented to maintain the integrity of the blind and the trial. The procedures used to blind a product (for example over-encapsulation or re-packaging) shall be validated to demonstrate that they do not adversely affect the quality, stability, bioavailability or comparability of the test and reference products. A system shall permit the rapid identification (“unblinding”) of a product in an emergency, while preventing undetectable unblinding.</w:t>
      </w:r>
    </w:p>
    <w:p w14:paraId="77A187EB" w14:textId="77777777" w:rsidR="00CD5946" w:rsidRDefault="00000000">
      <w:pPr>
        <w:bidi/>
        <w:spacing w:after="150" w:line="300" w:lineRule="auto"/>
        <w:ind w:right="300" w:hanging="300"/>
        <w:jc w:val="right"/>
      </w:pPr>
      <w:r>
        <w:rPr>
          <w:rFonts w:ascii="Arial" w:eastAsia="Arial" w:hAnsi="Arial"/>
          <w:color w:val="333333"/>
          <w:sz w:val="20"/>
          <w:szCs w:val="20"/>
          <w:rtl/>
        </w:rPr>
        <w:t>تُضبط وتُوثّق عمليات التعمية وتحضير العبوات العشوائية للحفاظ على سلامة التعمية والتجربة. وتُتحقّق إجراءات تعمية المنتج (كالتغليف الإضافي أو إعادة التعبئة) لإثبات أنّها لا تؤثّر سلباً في الجودة أو الثبات أو التوافر الحيوي أو القابلية للمقارنة. ويُتيح نظام التعرّف السريع (كسر التعمية) في الطوارئ مع منع كسرها غير الملحوظ.</w:t>
      </w:r>
      <w:r>
        <w:rPr>
          <w:rFonts w:ascii="Arial" w:eastAsia="Arial" w:hAnsi="Arial"/>
          <w:b/>
          <w:bCs/>
          <w:color w:val="15512F"/>
          <w:sz w:val="20"/>
          <w:szCs w:val="20"/>
          <w:rtl/>
        </w:rPr>
        <w:t xml:space="preserve">  ⁦</w:t>
      </w:r>
      <w:r>
        <w:rPr>
          <w:rFonts w:ascii="Arial" w:eastAsia="Arial" w:hAnsi="Arial"/>
          <w:b/>
          <w:bCs/>
          <w:color w:val="15512F"/>
          <w:sz w:val="20"/>
          <w:szCs w:val="20"/>
        </w:rPr>
        <w:t>13.2</w:t>
      </w:r>
      <w:r>
        <w:rPr>
          <w:rFonts w:ascii="Arial" w:eastAsia="Arial" w:hAnsi="Arial"/>
          <w:b/>
          <w:bCs/>
          <w:color w:val="15512F"/>
          <w:sz w:val="20"/>
          <w:szCs w:val="20"/>
          <w:rtl/>
        </w:rPr>
        <w:t>⁩</w:t>
      </w:r>
    </w:p>
    <w:p w14:paraId="0AE83564" w14:textId="77777777" w:rsidR="00CD5946" w:rsidRDefault="00000000">
      <w:pPr>
        <w:pBdr>
          <w:left w:val="single" w:sz="6" w:space="8" w:color="CFCFCF"/>
        </w:pBd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Where a comparator is sourced as a marketed product and re-packaged or modified for blinding, the manufacturer shall ensure, so far as possible, that the integrity and quality of the comparator are not adversely affected, and shall hold documentation (for example certificates of analysis, where available, or supporting data) establishing its suitability — the IMP dossier and stability programme should bridge any modification.</w:t>
      </w:r>
    </w:p>
    <w:p w14:paraId="0954E9EA" w14:textId="77777777" w:rsidR="00CD5946" w:rsidRDefault="00000000">
      <w:pPr>
        <w:bidi/>
        <w:spacing w:after="140"/>
        <w:ind w:right="300"/>
        <w:jc w:val="right"/>
      </w:pPr>
      <w:r>
        <w:rPr>
          <w:rFonts w:ascii="Arial" w:eastAsia="Arial" w:hAnsi="Arial"/>
          <w:color w:val="5A5A5A"/>
          <w:sz w:val="18"/>
          <w:szCs w:val="18"/>
          <w:rtl/>
        </w:rPr>
        <w:t>عند الحصول على المقارِن كمنتج مُسوّق وإعادة تعبئته أو تعديله للتعمية، يضمن المصنّع قدر الإمكان عدم الإضرار بسلامة وجودة المقارِن، ويحتفظ بوثائق تُثبت ملاءمته؛ ويجب أن يجسر ملف المنتج وبرنامج الثبات أيّ تعديل.</w:t>
      </w:r>
      <w:r>
        <w:rPr>
          <w:rFonts w:ascii="Arial" w:eastAsia="Arial" w:hAnsi="Arial"/>
          <w:b/>
          <w:bCs/>
          <w:color w:val="5A5A5A"/>
          <w:sz w:val="18"/>
          <w:szCs w:val="18"/>
          <w:rtl/>
        </w:rPr>
        <w:t xml:space="preserve">  ملاحظة.</w:t>
      </w:r>
    </w:p>
    <w:p w14:paraId="199E6C69" w14:textId="77777777" w:rsidR="00CD5946" w:rsidRDefault="00000000">
      <w:pPr>
        <w:pStyle w:val="Heading2"/>
        <w:spacing w:before="220"/>
      </w:pPr>
      <w:bookmarkStart w:id="198" w:name="__RefHeading___Toc9553_1729075678"/>
      <w:bookmarkEnd w:id="198"/>
      <w:r>
        <w:t>3.  Labelling, QC and release</w:t>
      </w:r>
      <w:r>
        <w:rPr>
          <w:b w:val="0"/>
          <w:bCs w:val="0"/>
          <w:color w:val="1A1A1A"/>
          <w:sz w:val="21"/>
          <w:szCs w:val="21"/>
        </w:rPr>
        <w:t xml:space="preserve">   </w:t>
      </w:r>
      <w:r>
        <w:rPr>
          <w:color w:val="C8A24B"/>
          <w:sz w:val="20"/>
          <w:szCs w:val="20"/>
          <w:rtl/>
        </w:rPr>
        <w:t>الوسم ومراقبة الجودة والإفراج</w:t>
      </w:r>
    </w:p>
    <w:p w14:paraId="6DB1A6AC" w14:textId="77777777" w:rsidR="00CD5946" w:rsidRDefault="00000000">
      <w:pPr>
        <w:spacing w:after="40" w:line="266" w:lineRule="auto"/>
        <w:ind w:left="300" w:hanging="300"/>
      </w:pPr>
      <w:r>
        <w:rPr>
          <w:rFonts w:ascii="Arial" w:eastAsia="Arial" w:hAnsi="Arial"/>
          <w:b/>
          <w:bCs/>
          <w:color w:val="15512F"/>
        </w:rPr>
        <w:t xml:space="preserve">13.3  </w:t>
      </w:r>
      <w:r>
        <w:rPr>
          <w:rFonts w:ascii="Arial" w:eastAsia="Arial" w:hAnsi="Arial"/>
          <w:color w:val="1A1A1A"/>
        </w:rPr>
        <w:t>Labels shall include the particulars required by the applicable legislation, which normally comprise: identification of the sponsor, contract research organisation or investigator; the trial reference code; the subject/treatment number; directions for use; “for clinical trial use only”; storage conditions; the use-by/retest/expiry date; and the batch/period number, while not disclosing the blinded identity. Where the expiry date must be changed, an additional label may be applied under a controlled, documented procedure that does not obscure the original date.</w:t>
      </w:r>
    </w:p>
    <w:p w14:paraId="53540CF8" w14:textId="77777777" w:rsidR="00CD5946" w:rsidRDefault="00000000">
      <w:pPr>
        <w:bidi/>
        <w:spacing w:after="150" w:line="300" w:lineRule="auto"/>
        <w:ind w:right="300" w:hanging="300"/>
        <w:jc w:val="right"/>
      </w:pPr>
      <w:r>
        <w:rPr>
          <w:rFonts w:ascii="Arial" w:eastAsia="Arial" w:hAnsi="Arial"/>
          <w:color w:val="333333"/>
          <w:sz w:val="20"/>
          <w:szCs w:val="20"/>
          <w:rtl/>
        </w:rPr>
        <w:t>تتضمّن الملصقات البيانات المطلوبة، وعادةً: تعريف الراعي أو المنظّمة أو الباحث؛ ورمز التجربة؛ ورقم المشارك/العلاج؛ وتعليمات الاستخدام؛ وعبارة "للاستخدام في التجارب السريرية فقط"؛ وظروف التخزين؛ وتاريخ الانتهاء/إعادة الاختبار؛ ورقم الدفعة دون كشف الهوية المُعمّاة. وعند تغيير تاريخ الانتهاء يُوضع ملصق إضافي بإجراء مضبوط لا يحجب التاريخ الأصلي.</w:t>
      </w:r>
      <w:r>
        <w:rPr>
          <w:rFonts w:ascii="Arial" w:eastAsia="Arial" w:hAnsi="Arial"/>
          <w:b/>
          <w:bCs/>
          <w:color w:val="15512F"/>
          <w:sz w:val="20"/>
          <w:szCs w:val="20"/>
          <w:rtl/>
        </w:rPr>
        <w:t xml:space="preserve">  ⁦</w:t>
      </w:r>
      <w:r>
        <w:rPr>
          <w:rFonts w:ascii="Arial" w:eastAsia="Arial" w:hAnsi="Arial"/>
          <w:b/>
          <w:bCs/>
          <w:color w:val="15512F"/>
          <w:sz w:val="20"/>
          <w:szCs w:val="20"/>
        </w:rPr>
        <w:t>13.3</w:t>
      </w:r>
      <w:r>
        <w:rPr>
          <w:rFonts w:ascii="Arial" w:eastAsia="Arial" w:hAnsi="Arial"/>
          <w:b/>
          <w:bCs/>
          <w:color w:val="15512F"/>
          <w:sz w:val="20"/>
          <w:szCs w:val="20"/>
          <w:rtl/>
        </w:rPr>
        <w:t>⁩</w:t>
      </w:r>
    </w:p>
    <w:p w14:paraId="5A8262EE" w14:textId="77777777" w:rsidR="00CD5946" w:rsidRDefault="00000000">
      <w:pPr>
        <w:spacing w:after="40" w:line="266" w:lineRule="auto"/>
        <w:ind w:left="300" w:hanging="300"/>
      </w:pPr>
      <w:r>
        <w:rPr>
          <w:rFonts w:ascii="Arial" w:eastAsia="Arial" w:hAnsi="Arial"/>
          <w:b/>
          <w:bCs/>
          <w:color w:val="15512F"/>
        </w:rPr>
        <w:t xml:space="preserve">13.4  </w:t>
      </w:r>
      <w:r>
        <w:rPr>
          <w:rFonts w:ascii="Arial" w:eastAsia="Arial" w:hAnsi="Arial"/>
          <w:color w:val="1A1A1A"/>
        </w:rPr>
        <w:t>Each batch shall be certified by an Authorised/Qualified Person before release for use in a trial, confirming compliance with GMP, the Product Specification File, the clinical-trial authorisation and the order. Full traceability, reconciliation of all units (including returns), and controlled procedures for the return, recall and destruction of unused IMP shall be maintained; destruction shall be carried out only after reconciliation is complete and authorised, and shall be documented.</w:t>
      </w:r>
    </w:p>
    <w:p w14:paraId="571A2052"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تُعتمد كل دفعة من شخص مؤهّل قبل الإفراج للاستخدام في التجربة، مؤكّداً الامتثال لـ </w:t>
      </w:r>
      <w:r>
        <w:rPr>
          <w:rFonts w:ascii="Arial" w:eastAsia="Arial" w:hAnsi="Arial"/>
          <w:color w:val="333333"/>
          <w:sz w:val="20"/>
          <w:szCs w:val="20"/>
        </w:rPr>
        <w:t>GMP</w:t>
      </w:r>
      <w:r>
        <w:rPr>
          <w:rFonts w:ascii="Arial" w:eastAsia="Arial" w:hAnsi="Arial"/>
          <w:color w:val="333333"/>
          <w:sz w:val="20"/>
          <w:szCs w:val="20"/>
          <w:rtl/>
        </w:rPr>
        <w:t xml:space="preserve"> وملف مواصفات المنتج وترخيص التجربة والأمر. ويُحافَظ على التتبّع الكامل ومطابقة جميع الوحدات (بما فيها المُرجَعة) وإجراءات مضبوطة للإرجاع والاستدعاء والإتلاف؛ ولا يتمّ الإتلاف إلّا بعد اكتمال المطابقة والتصريح ويُوثّق.</w:t>
      </w:r>
      <w:r>
        <w:rPr>
          <w:rFonts w:ascii="Arial" w:eastAsia="Arial" w:hAnsi="Arial"/>
          <w:b/>
          <w:bCs/>
          <w:color w:val="15512F"/>
          <w:sz w:val="20"/>
          <w:szCs w:val="20"/>
          <w:rtl/>
        </w:rPr>
        <w:t xml:space="preserve">  ⁦</w:t>
      </w:r>
      <w:r>
        <w:rPr>
          <w:rFonts w:ascii="Arial" w:eastAsia="Arial" w:hAnsi="Arial"/>
          <w:b/>
          <w:bCs/>
          <w:color w:val="15512F"/>
          <w:sz w:val="20"/>
          <w:szCs w:val="20"/>
        </w:rPr>
        <w:t>13.4</w:t>
      </w:r>
      <w:r>
        <w:rPr>
          <w:rFonts w:ascii="Arial" w:eastAsia="Arial" w:hAnsi="Arial"/>
          <w:b/>
          <w:bCs/>
          <w:color w:val="15512F"/>
          <w:sz w:val="20"/>
          <w:szCs w:val="20"/>
          <w:rtl/>
        </w:rPr>
        <w:t>⁩</w:t>
      </w:r>
    </w:p>
    <w:p w14:paraId="2056DE28" w14:textId="77777777" w:rsidR="00CD5946" w:rsidRDefault="00000000">
      <w:pPr>
        <w:pStyle w:val="Heading2"/>
        <w:spacing w:before="220"/>
      </w:pPr>
      <w:bookmarkStart w:id="199" w:name="__RefHeading___Toc9555_1729075678"/>
      <w:bookmarkEnd w:id="199"/>
      <w:r>
        <w:lastRenderedPageBreak/>
        <w:t>4.  Glossary (Annex 13)</w:t>
      </w:r>
      <w:r>
        <w:rPr>
          <w:b w:val="0"/>
          <w:bCs w:val="0"/>
          <w:color w:val="1A1A1A"/>
          <w:sz w:val="21"/>
          <w:szCs w:val="21"/>
        </w:rPr>
        <w:t xml:space="preserve">   </w:t>
      </w:r>
      <w:r>
        <w:rPr>
          <w:color w:val="C8A24B"/>
          <w:sz w:val="20"/>
          <w:szCs w:val="20"/>
          <w:rtl/>
        </w:rPr>
        <w:t>مسرد الملحق</w:t>
      </w:r>
      <w:r>
        <w:rPr>
          <w:color w:val="C8A24B"/>
          <w:sz w:val="20"/>
          <w:szCs w:val="20"/>
        </w:rPr>
        <w:t xml:space="preserve"> ⁦13⁩</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700"/>
        <w:gridCol w:w="6660"/>
      </w:tblGrid>
      <w:tr w:rsidR="00CD5946" w14:paraId="19EEBD87" w14:textId="77777777">
        <w:trPr>
          <w:tblHeader/>
        </w:trPr>
        <w:tc>
          <w:tcPr>
            <w:tcW w:w="2700" w:type="dxa"/>
            <w:tcBorders>
              <w:top w:val="single" w:sz="2" w:space="0" w:color="BFC9C0"/>
              <w:left w:val="single" w:sz="2" w:space="0" w:color="BFC9C0"/>
              <w:bottom w:val="single" w:sz="2" w:space="0" w:color="BFC9C0"/>
              <w:right w:val="single" w:sz="2" w:space="0" w:color="BFC9C0"/>
            </w:tcBorders>
            <w:shd w:val="clear" w:color="auto" w:fill="0E5A50"/>
          </w:tcPr>
          <w:p w14:paraId="3F955B61" w14:textId="77777777" w:rsidR="00CD5946" w:rsidRDefault="00000000">
            <w:pPr>
              <w:spacing w:after="0"/>
            </w:pPr>
            <w:r>
              <w:rPr>
                <w:rFonts w:ascii="Arial" w:eastAsia="Arial" w:hAnsi="Arial"/>
                <w:b/>
                <w:bCs/>
                <w:color w:val="FFFFFF"/>
                <w:sz w:val="18"/>
                <w:szCs w:val="18"/>
              </w:rPr>
              <w:t xml:space="preserve">Term / </w:t>
            </w:r>
            <w:r>
              <w:rPr>
                <w:rFonts w:ascii="Arial" w:eastAsia="Arial" w:hAnsi="Arial"/>
                <w:b/>
                <w:bCs/>
                <w:color w:val="FFFFFF"/>
                <w:sz w:val="18"/>
                <w:szCs w:val="18"/>
                <w:rtl/>
              </w:rPr>
              <w:t>المصطلح</w:t>
            </w:r>
          </w:p>
        </w:tc>
        <w:tc>
          <w:tcPr>
            <w:tcW w:w="6660" w:type="dxa"/>
            <w:tcBorders>
              <w:top w:val="single" w:sz="2" w:space="0" w:color="BFC9C0"/>
              <w:left w:val="single" w:sz="2" w:space="0" w:color="BFC9C0"/>
              <w:bottom w:val="single" w:sz="2" w:space="0" w:color="BFC9C0"/>
              <w:right w:val="single" w:sz="2" w:space="0" w:color="BFC9C0"/>
            </w:tcBorders>
            <w:shd w:val="clear" w:color="auto" w:fill="0E5A50"/>
          </w:tcPr>
          <w:p w14:paraId="5FDF7094" w14:textId="77777777" w:rsidR="00CD5946" w:rsidRDefault="00000000">
            <w:pPr>
              <w:spacing w:after="0"/>
            </w:pPr>
            <w:r>
              <w:rPr>
                <w:rFonts w:ascii="Arial" w:eastAsia="Arial" w:hAnsi="Arial"/>
                <w:b/>
                <w:bCs/>
                <w:color w:val="FFFFFF"/>
                <w:sz w:val="18"/>
                <w:szCs w:val="18"/>
              </w:rPr>
              <w:t xml:space="preserve">Definition / </w:t>
            </w:r>
            <w:r>
              <w:rPr>
                <w:rFonts w:ascii="Arial" w:eastAsia="Arial" w:hAnsi="Arial"/>
                <w:b/>
                <w:bCs/>
                <w:color w:val="FFFFFF"/>
                <w:sz w:val="18"/>
                <w:szCs w:val="18"/>
                <w:rtl/>
              </w:rPr>
              <w:t>التعريف</w:t>
            </w:r>
          </w:p>
        </w:tc>
      </w:tr>
      <w:tr w:rsidR="00CD5946" w14:paraId="7495A9A5"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76E99CC3" w14:textId="77777777" w:rsidR="00CD5946" w:rsidRDefault="00000000">
            <w:pPr>
              <w:spacing w:after="0"/>
            </w:pPr>
            <w:r>
              <w:rPr>
                <w:rFonts w:ascii="Arial" w:eastAsia="Arial" w:hAnsi="Arial"/>
                <w:b/>
                <w:bCs/>
                <w:color w:val="15512F"/>
                <w:sz w:val="18"/>
                <w:szCs w:val="18"/>
              </w:rPr>
              <w:t>IMP</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7B2FD1EF" w14:textId="77777777" w:rsidR="00CD5946" w:rsidRDefault="00000000">
            <w:pPr>
              <w:spacing w:after="0"/>
            </w:pPr>
            <w:r>
              <w:rPr>
                <w:rFonts w:ascii="Arial" w:eastAsia="Arial" w:hAnsi="Arial"/>
                <w:color w:val="1A1A1A"/>
                <w:sz w:val="18"/>
                <w:szCs w:val="18"/>
              </w:rPr>
              <w:t xml:space="preserve">Investigational Medicinal Product: a pharmaceutical form of an active substance or placebo being tested or used as a reference in a clinical trial. / </w:t>
            </w:r>
            <w:r>
              <w:rPr>
                <w:rFonts w:ascii="Arial" w:eastAsia="Arial" w:hAnsi="Arial"/>
                <w:color w:val="1A1A1A"/>
                <w:sz w:val="18"/>
                <w:szCs w:val="18"/>
                <w:rtl/>
              </w:rPr>
              <w:t>منتج دوائي قيد البحث</w:t>
            </w:r>
            <w:r>
              <w:rPr>
                <w:rFonts w:ascii="Arial" w:eastAsia="Arial" w:hAnsi="Arial"/>
                <w:color w:val="1A1A1A"/>
                <w:sz w:val="18"/>
                <w:szCs w:val="18"/>
              </w:rPr>
              <w:t>.</w:t>
            </w:r>
          </w:p>
        </w:tc>
      </w:tr>
      <w:tr w:rsidR="00CD5946" w14:paraId="7A887C58"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2C9A0778" w14:textId="77777777" w:rsidR="00CD5946" w:rsidRDefault="00000000">
            <w:pPr>
              <w:spacing w:after="0"/>
            </w:pPr>
            <w:r>
              <w:rPr>
                <w:rFonts w:ascii="Arial" w:eastAsia="Arial" w:hAnsi="Arial"/>
                <w:b/>
                <w:bCs/>
                <w:color w:val="15512F"/>
                <w:sz w:val="18"/>
                <w:szCs w:val="18"/>
              </w:rPr>
              <w:t>Product Specification File (PSF)</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2C1D490F" w14:textId="77777777" w:rsidR="00CD5946" w:rsidRDefault="00000000">
            <w:pPr>
              <w:spacing w:after="0"/>
            </w:pPr>
            <w:r>
              <w:rPr>
                <w:rFonts w:ascii="Arial" w:eastAsia="Arial" w:hAnsi="Arial"/>
                <w:color w:val="1A1A1A"/>
                <w:sz w:val="18"/>
                <w:szCs w:val="18"/>
              </w:rPr>
              <w:t xml:space="preserve">A reference file containing, or referring to, all the information needed to draft detailed instructions and to certify IMP batches. / </w:t>
            </w:r>
            <w:r>
              <w:rPr>
                <w:rFonts w:ascii="Arial" w:eastAsia="Arial" w:hAnsi="Arial"/>
                <w:color w:val="1A1A1A"/>
                <w:sz w:val="18"/>
                <w:szCs w:val="18"/>
                <w:rtl/>
              </w:rPr>
              <w:t>ملف مرجعي يحوي معلومات المنتج</w:t>
            </w:r>
            <w:r>
              <w:rPr>
                <w:rFonts w:ascii="Arial" w:eastAsia="Arial" w:hAnsi="Arial"/>
                <w:color w:val="1A1A1A"/>
                <w:sz w:val="18"/>
                <w:szCs w:val="18"/>
              </w:rPr>
              <w:t>.</w:t>
            </w:r>
          </w:p>
        </w:tc>
      </w:tr>
      <w:tr w:rsidR="00CD5946" w14:paraId="0F791711"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61172923" w14:textId="77777777" w:rsidR="00CD5946" w:rsidRDefault="00000000">
            <w:pPr>
              <w:spacing w:after="0"/>
            </w:pPr>
            <w:r>
              <w:rPr>
                <w:rFonts w:ascii="Arial" w:eastAsia="Arial" w:hAnsi="Arial"/>
                <w:b/>
                <w:bCs/>
                <w:color w:val="15512F"/>
                <w:sz w:val="18"/>
                <w:szCs w:val="18"/>
              </w:rPr>
              <w:t>Blinding</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50921694" w14:textId="77777777" w:rsidR="00CD5946" w:rsidRDefault="00000000">
            <w:pPr>
              <w:spacing w:after="0"/>
            </w:pPr>
            <w:r>
              <w:rPr>
                <w:rFonts w:ascii="Arial" w:eastAsia="Arial" w:hAnsi="Arial"/>
                <w:color w:val="1A1A1A"/>
                <w:sz w:val="18"/>
                <w:szCs w:val="18"/>
              </w:rPr>
              <w:t xml:space="preserve">A procedure in which one or more parties to the trial are kept unaware of the treatment assignment. / </w:t>
            </w:r>
            <w:r>
              <w:rPr>
                <w:rFonts w:ascii="Arial" w:eastAsia="Arial" w:hAnsi="Arial"/>
                <w:color w:val="1A1A1A"/>
                <w:sz w:val="18"/>
                <w:szCs w:val="18"/>
                <w:rtl/>
              </w:rPr>
              <w:t>إجراء يحجب معرفة العلاج المخصّص</w:t>
            </w:r>
            <w:r>
              <w:rPr>
                <w:rFonts w:ascii="Arial" w:eastAsia="Arial" w:hAnsi="Arial"/>
                <w:color w:val="1A1A1A"/>
                <w:sz w:val="18"/>
                <w:szCs w:val="18"/>
              </w:rPr>
              <w:t>.</w:t>
            </w:r>
          </w:p>
        </w:tc>
      </w:tr>
      <w:tr w:rsidR="00CD5946" w14:paraId="13216EE0"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33769ED9" w14:textId="77777777" w:rsidR="00CD5946" w:rsidRDefault="00000000">
            <w:pPr>
              <w:spacing w:after="0"/>
            </w:pPr>
            <w:r>
              <w:rPr>
                <w:rFonts w:ascii="Arial" w:eastAsia="Arial" w:hAnsi="Arial"/>
                <w:b/>
                <w:bCs/>
                <w:color w:val="15512F"/>
                <w:sz w:val="18"/>
                <w:szCs w:val="18"/>
              </w:rPr>
              <w:t>Comparator</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68B8C318" w14:textId="77777777" w:rsidR="00CD5946" w:rsidRDefault="00000000">
            <w:pPr>
              <w:spacing w:after="0"/>
            </w:pPr>
            <w:r>
              <w:rPr>
                <w:rFonts w:ascii="Arial" w:eastAsia="Arial" w:hAnsi="Arial"/>
                <w:color w:val="1A1A1A"/>
                <w:sz w:val="18"/>
                <w:szCs w:val="18"/>
              </w:rPr>
              <w:t xml:space="preserve">A reference product (active or placebo) used as a comparison in a clinical trial. / </w:t>
            </w:r>
            <w:r>
              <w:rPr>
                <w:rFonts w:ascii="Arial" w:eastAsia="Arial" w:hAnsi="Arial"/>
                <w:color w:val="1A1A1A"/>
                <w:sz w:val="18"/>
                <w:szCs w:val="18"/>
                <w:rtl/>
              </w:rPr>
              <w:t>منتج مرجعي للمقارنة</w:t>
            </w:r>
            <w:r>
              <w:rPr>
                <w:rFonts w:ascii="Arial" w:eastAsia="Arial" w:hAnsi="Arial"/>
                <w:color w:val="1A1A1A"/>
                <w:sz w:val="18"/>
                <w:szCs w:val="18"/>
              </w:rPr>
              <w:t>.</w:t>
            </w:r>
          </w:p>
        </w:tc>
      </w:tr>
    </w:tbl>
    <w:p w14:paraId="04A74439" w14:textId="77777777" w:rsidR="00CD5946" w:rsidRDefault="00000000">
      <w:pPr>
        <w:spacing w:before="260" w:after="0"/>
        <w:jc w:val="center"/>
      </w:pPr>
      <w:r>
        <w:rPr>
          <w:noProof/>
        </w:rPr>
        <w:drawing>
          <wp:inline distT="0" distB="0" distL="0" distR="0" wp14:anchorId="67658C72" wp14:editId="3DC9D897">
            <wp:extent cx="876300" cy="1238250"/>
            <wp:effectExtent l="0" t="0" r="0" b="0"/>
            <wp:docPr id="14" name="Image13"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1FF0DEB4" w14:textId="77777777" w:rsidR="00CD5946" w:rsidRDefault="00000000">
      <w:pPr>
        <w:spacing w:before="50" w:after="0"/>
        <w:jc w:val="center"/>
      </w:pPr>
      <w:r>
        <w:rPr>
          <w:rFonts w:ascii="Arial" w:eastAsia="Arial" w:hAnsi="Arial"/>
          <w:b/>
          <w:bCs/>
          <w:color w:val="15512F"/>
          <w:sz w:val="19"/>
          <w:szCs w:val="19"/>
        </w:rPr>
        <w:t>AUPAM EXPERTS' OFFICE</w:t>
      </w:r>
    </w:p>
    <w:p w14:paraId="769C685E"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695CDB34" w14:textId="77777777" w:rsidR="00CD5946" w:rsidRDefault="00000000">
      <w:pPr>
        <w:spacing w:before="10" w:after="0"/>
        <w:jc w:val="center"/>
      </w:pPr>
      <w:r>
        <w:rPr>
          <w:rFonts w:ascii="Arial" w:eastAsia="Arial" w:hAnsi="Arial"/>
          <w:b/>
          <w:bCs/>
          <w:color w:val="B08C37"/>
          <w:sz w:val="24"/>
          <w:szCs w:val="24"/>
        </w:rPr>
        <w:t>2026 EDITION</w:t>
      </w:r>
    </w:p>
    <w:p w14:paraId="2A5239E0" w14:textId="77777777" w:rsidR="00CD5946" w:rsidRDefault="00000000">
      <w:pPr>
        <w:spacing w:before="260" w:after="0"/>
        <w:jc w:val="center"/>
      </w:pPr>
      <w:r>
        <w:rPr>
          <w:rFonts w:ascii="Arial" w:eastAsia="Arial" w:hAnsi="Arial"/>
          <w:b/>
          <w:bCs/>
          <w:color w:val="15512F"/>
          <w:sz w:val="54"/>
          <w:szCs w:val="54"/>
        </w:rPr>
        <w:t>ANNEX 15</w:t>
      </w:r>
    </w:p>
    <w:p w14:paraId="2F831401" w14:textId="77777777" w:rsidR="00CD5946" w:rsidRDefault="00000000">
      <w:pPr>
        <w:spacing w:before="40" w:after="0"/>
        <w:jc w:val="center"/>
      </w:pPr>
      <w:r>
        <w:rPr>
          <w:rFonts w:ascii="Arial" w:eastAsia="Arial" w:hAnsi="Arial"/>
          <w:b/>
          <w:bCs/>
          <w:color w:val="1A1A1A"/>
          <w:sz w:val="28"/>
          <w:szCs w:val="28"/>
        </w:rPr>
        <w:t>Qualification and Validation · full bilingual clause-by-clause</w:t>
      </w:r>
    </w:p>
    <w:p w14:paraId="52A324BB" w14:textId="77777777" w:rsidR="00CD5946" w:rsidRDefault="00000000">
      <w:pPr>
        <w:spacing w:before="16" w:after="0"/>
        <w:jc w:val="center"/>
      </w:pPr>
      <w:r>
        <w:rPr>
          <w:rFonts w:ascii="Arial" w:eastAsia="Arial" w:hAnsi="Arial"/>
          <w:color w:val="5A5A5A"/>
          <w:sz w:val="22"/>
          <w:szCs w:val="22"/>
        </w:rPr>
        <w:t>Sections 1 – 13 · EN | AR</w:t>
      </w:r>
    </w:p>
    <w:p w14:paraId="57C506E1" w14:textId="77777777" w:rsidR="00CD5946" w:rsidRDefault="00000000">
      <w:pPr>
        <w:spacing w:before="26" w:after="0"/>
        <w:jc w:val="center"/>
      </w:pPr>
      <w:r>
        <w:rPr>
          <w:rFonts w:ascii="Arial" w:eastAsia="Arial" w:hAnsi="Arial"/>
          <w:b/>
          <w:bCs/>
          <w:color w:val="15512F"/>
          <w:sz w:val="22"/>
          <w:szCs w:val="22"/>
          <w:rtl/>
        </w:rPr>
        <w:t>الملحق ⁦</w:t>
      </w:r>
      <w:r>
        <w:rPr>
          <w:rFonts w:ascii="Arial" w:eastAsia="Arial" w:hAnsi="Arial"/>
          <w:b/>
          <w:bCs/>
          <w:color w:val="15512F"/>
          <w:sz w:val="22"/>
          <w:szCs w:val="22"/>
        </w:rPr>
        <w:t>15 —</w:t>
      </w:r>
      <w:r>
        <w:rPr>
          <w:rFonts w:ascii="Arial" w:eastAsia="Arial" w:hAnsi="Arial"/>
          <w:b/>
          <w:bCs/>
          <w:color w:val="15512F"/>
          <w:sz w:val="22"/>
          <w:szCs w:val="22"/>
          <w:rtl/>
        </w:rPr>
        <w:t>⁩ التأهيل والتحقّق</w:t>
      </w:r>
    </w:p>
    <w:p w14:paraId="3CA5C3A0"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3E4E9B74" w14:textId="77777777" w:rsidR="00CD5946" w:rsidRDefault="00000000">
      <w:r>
        <w:br w:type="page"/>
      </w:r>
    </w:p>
    <w:p w14:paraId="68AE922C" w14:textId="77777777" w:rsidR="00CD5946" w:rsidRDefault="00000000">
      <w:pPr>
        <w:pStyle w:val="Heading1"/>
        <w:spacing w:before="0"/>
      </w:pPr>
      <w:bookmarkStart w:id="200" w:name="__RefHeading___Toc9557_1729075678"/>
      <w:bookmarkEnd w:id="200"/>
      <w:r>
        <w:lastRenderedPageBreak/>
        <w:t>Contents</w:t>
      </w:r>
    </w:p>
    <w:sdt>
      <w:sdtPr>
        <w:id w:val="123507794"/>
        <w:docPartObj>
          <w:docPartGallery w:val="Table of Contents"/>
          <w:docPartUnique/>
        </w:docPartObj>
      </w:sdtPr>
      <w:sdtContent>
        <w:p w14:paraId="0C2A8472"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5627B073"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4BA91DF8"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31EF860A"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4CF60A65"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15F99997"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2385E19E"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622D20DF"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7852E6DF"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1F6FED61"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23F2592A"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23535935"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4F91FB87"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2E6B4981"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64EF9D12"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5769B91E"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0DEF9E3A"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3C95C0E1"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58155F37"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46F294E6"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6347262D"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3B907865"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306791AF"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104CBBFF"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6AD4DBCF"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03017A8E"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6AC751DB"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7B9C2835"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30BF6E85"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3AFFA222"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7BFBC691"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04FDAF2D"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133606A0"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1AA8E139"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5BD50AEB"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1710B097"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765354D0"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75E9A619"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1F95F4B6"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56D9A5AF"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76B613EC"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42272D69"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7405E58A"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2143DB84"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43491E83"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67244CF9"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76A9CDF0"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6B4E5616"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37498B65"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1B756FD8"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03507642"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40D56BB6"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569205A0"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3AEEBA2B"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7368E4CD"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1A1E7CDE"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1EA915CF"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57B672C6"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0D5E0833"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6B6D4013"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594017E8"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0AE1F4A1"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197273B2"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56CD37C6"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19E1850B"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7BB9AFDD"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1D9CAC52"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1E8B8328"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6933664D"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73E890D4"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3C0914B2"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436BB7EC"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167BA89C"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21003447" w14:textId="77777777" w:rsidR="00CD5946" w:rsidRDefault="00CD5946"/>
    <w:p w14:paraId="1FE245D6" w14:textId="77777777" w:rsidR="00CD5946" w:rsidRDefault="00000000">
      <w:pPr>
        <w:pStyle w:val="Heading1"/>
      </w:pPr>
      <w:bookmarkStart w:id="201" w:name="__RefHeading___Toc9559_1729075678"/>
      <w:bookmarkEnd w:id="201"/>
      <w:r>
        <w:t xml:space="preserve">Annex 15 — Qualification and Validation  ·  </w:t>
      </w:r>
      <w:r>
        <w:rPr>
          <w:rtl/>
        </w:rPr>
        <w:t xml:space="preserve">الملحق </w:t>
      </w:r>
      <w:r>
        <w:t>15</w:t>
      </w:r>
      <w:r>
        <w:rPr>
          <w:rtl/>
        </w:rPr>
        <w:t xml:space="preserve"> — التأهيل والتحقّق</w:t>
      </w:r>
    </w:p>
    <w:p w14:paraId="469DE581" w14:textId="77777777" w:rsidR="00CD5946" w:rsidRDefault="00000000">
      <w:pPr>
        <w:spacing w:before="10" w:after="150"/>
      </w:pPr>
      <w:r>
        <w:rPr>
          <w:rFonts w:ascii="Arial" w:eastAsia="Arial" w:hAnsi="Arial"/>
          <w:b/>
          <w:bCs/>
          <w:color w:val="C8A24B"/>
          <w:sz w:val="17"/>
          <w:szCs w:val="17"/>
        </w:rPr>
        <w:t xml:space="preserve">Harmonised with: </w:t>
      </w:r>
      <w:r>
        <w:rPr>
          <w:rFonts w:ascii="Arial" w:eastAsia="Arial" w:hAnsi="Arial"/>
          <w:i/>
          <w:iCs/>
          <w:color w:val="5A5A5A"/>
          <w:sz w:val="17"/>
          <w:szCs w:val="17"/>
        </w:rPr>
        <w:t>EU GMP Annex 15 (2015) · SFDA GMP Guide v4.4, Annex 15 · PIC/S PE 009-17 Annex 15 · US FDA Process Validation (2011) · ICH Q8(R2), Q9(R1), Q10, Q11, Q12 · WHO TRS 1019 Annex 3</w:t>
      </w:r>
    </w:p>
    <w:p w14:paraId="327A59A2" w14:textId="77777777" w:rsidR="00CD5946" w:rsidRDefault="00000000">
      <w:pPr>
        <w:pBdr>
          <w:left w:val="single" w:sz="16" w:space="8" w:color="C8A24B"/>
        </w:pBdr>
        <w:spacing w:after="40"/>
        <w:ind w:left="160"/>
      </w:pPr>
      <w:r>
        <w:rPr>
          <w:rFonts w:ascii="Arial" w:eastAsia="Arial" w:hAnsi="Arial"/>
          <w:b/>
          <w:bCs/>
          <w:color w:val="C8A24B"/>
        </w:rPr>
        <w:t xml:space="preserve">Principle.  </w:t>
      </w:r>
      <w:r>
        <w:rPr>
          <w:rFonts w:ascii="Arial" w:eastAsia="Arial" w:hAnsi="Arial"/>
          <w:color w:val="1A1A1A"/>
        </w:rPr>
        <w:t>This Annex describes the principles of qualification and validation applicable to the facilities, equipment, utilities and processes used for the manufacture of medicinal products. It is a GMP requirement that manufacturers control the critical aspects of their particular operations through qualification and validation over the lifecycle of the product and process. Any planned change to facilities, equipment, utilities and processes that may affect product quality shall be formally documented and the impact on the validated status or control strategy assessed. Quality Risk Management (ICH Q9) shall be applied throughout the lifecycle; the use of current product and process knowledge, and of science- and risk-based approaches, is encouraged.</w:t>
      </w:r>
    </w:p>
    <w:p w14:paraId="1ACD788A" w14:textId="77777777" w:rsidR="00CD5946" w:rsidRDefault="00000000">
      <w:pPr>
        <w:bidi/>
        <w:spacing w:after="150"/>
        <w:ind w:right="160"/>
        <w:jc w:val="right"/>
      </w:pPr>
      <w:r>
        <w:rPr>
          <w:rFonts w:ascii="Arial" w:eastAsia="Arial" w:hAnsi="Arial"/>
          <w:b/>
          <w:bCs/>
          <w:color w:val="C8A24B"/>
          <w:sz w:val="20"/>
          <w:szCs w:val="20"/>
          <w:rtl/>
        </w:rPr>
        <w:t xml:space="preserve">المبدأ. </w:t>
      </w:r>
      <w:r>
        <w:rPr>
          <w:rFonts w:ascii="Arial" w:eastAsia="Arial" w:hAnsi="Arial"/>
          <w:color w:val="333333"/>
          <w:sz w:val="20"/>
          <w:szCs w:val="20"/>
          <w:rtl/>
        </w:rPr>
        <w:t>يصف هذا الملحق مبادئ التأهيل والتحقّق المنطبقة على المرافق والمعدّات والمنافع والعمليات المستخدمة في تصنيع المنتجات الدوائية. ومن متطلبات الممارسات الجيدة أن يضبط المصنّعون الجوانب الحرجة لعملياتهم بالتأهيل والتحقّق عبر دورة حياة المنتج والعملية. ويُوثّق رسميّاً أيّ تغيير مخطّط قد يؤثّر في الجودة، ويُقيّم أثره على حالة التحقّق أو استراتيجية الضبط. وتُطبّق إدارة مخاطر الجودة (</w:t>
      </w:r>
      <w:r>
        <w:rPr>
          <w:rFonts w:ascii="Arial" w:eastAsia="Arial" w:hAnsi="Arial"/>
          <w:color w:val="333333"/>
          <w:sz w:val="20"/>
          <w:szCs w:val="20"/>
        </w:rPr>
        <w:t>ICH Q</w:t>
      </w:r>
      <w:r>
        <w:rPr>
          <w:rFonts w:ascii="Arial" w:eastAsia="Arial" w:hAnsi="Arial"/>
          <w:color w:val="333333"/>
          <w:sz w:val="20"/>
          <w:szCs w:val="20"/>
          <w:rtl/>
        </w:rPr>
        <w:t>⁦</w:t>
      </w:r>
      <w:r>
        <w:rPr>
          <w:rFonts w:ascii="Arial" w:eastAsia="Arial" w:hAnsi="Arial"/>
          <w:color w:val="333333"/>
          <w:sz w:val="20"/>
          <w:szCs w:val="20"/>
        </w:rPr>
        <w:t>9</w:t>
      </w:r>
      <w:r>
        <w:rPr>
          <w:rFonts w:ascii="Arial" w:eastAsia="Arial" w:hAnsi="Arial"/>
          <w:color w:val="333333"/>
          <w:sz w:val="20"/>
          <w:szCs w:val="20"/>
          <w:rtl/>
        </w:rPr>
        <w:t>⁩) طوال دورة الحياة، مع تشجيع النهج القائم على العلم والمخاطر.</w:t>
      </w:r>
    </w:p>
    <w:p w14:paraId="5796140F" w14:textId="77777777" w:rsidR="00CD5946" w:rsidRDefault="00000000">
      <w:pPr>
        <w:pBdr>
          <w:left w:val="single" w:sz="10" w:space="8" w:color="CFCFCF"/>
        </w:pBdr>
        <w:spacing w:before="60" w:after="30"/>
        <w:ind w:left="160"/>
      </w:pPr>
      <w:r>
        <w:rPr>
          <w:rFonts w:ascii="Arial" w:eastAsia="Arial" w:hAnsi="Arial"/>
          <w:b/>
          <w:bCs/>
          <w:color w:val="15512F"/>
          <w:sz w:val="20"/>
          <w:szCs w:val="20"/>
        </w:rPr>
        <w:t xml:space="preserve">Scope.  </w:t>
      </w:r>
      <w:r>
        <w:rPr>
          <w:rFonts w:ascii="Arial" w:eastAsia="Arial" w:hAnsi="Arial"/>
          <w:color w:val="1A1A1A"/>
          <w:sz w:val="20"/>
          <w:szCs w:val="20"/>
        </w:rPr>
        <w:t>This Annex applies to the qualification of facilities, equipment, utilities and systems, and to the validation of processes, cleaning, analytical methods, packaging and transportation, used in the manufacture of medicinal products and active substances. It describes the principles applied across the product and process lifecycle; the specific methods and the extent of each exercise are determined by the manufacturer through quality risk management.</w:t>
      </w:r>
    </w:p>
    <w:p w14:paraId="338C59B1" w14:textId="77777777" w:rsidR="00CD5946" w:rsidRDefault="00000000">
      <w:pPr>
        <w:bidi/>
        <w:spacing w:after="150"/>
        <w:ind w:right="160"/>
        <w:jc w:val="right"/>
      </w:pPr>
      <w:r>
        <w:rPr>
          <w:rFonts w:ascii="Arial" w:eastAsia="Arial" w:hAnsi="Arial"/>
          <w:b/>
          <w:bCs/>
          <w:color w:val="15512F"/>
          <w:sz w:val="20"/>
          <w:szCs w:val="20"/>
          <w:rtl/>
        </w:rPr>
        <w:t xml:space="preserve">النطاق. </w:t>
      </w:r>
      <w:r>
        <w:rPr>
          <w:rFonts w:ascii="Arial" w:eastAsia="Arial" w:hAnsi="Arial"/>
          <w:color w:val="333333"/>
          <w:sz w:val="20"/>
          <w:szCs w:val="20"/>
          <w:rtl/>
        </w:rPr>
        <w:t>ينطبق هذا الملحق على تأهيل المرافق والمعدّات والمنافع والأنظمة، وعلى تحقّق العمليات والتنظيف والطرائق التحليلية والتعبئة والنقل المستخدمة في تصنيع المنتجات الدوائية والمواد الفعّالة. ويصف المبادئ عبر دورة حياة المنتج والعملية؛ وتُحدّد الطرائق ومدى كل نشاط بإدارة مخاطر الجودة.</w:t>
      </w:r>
    </w:p>
    <w:p w14:paraId="2A59B7C4" w14:textId="77777777" w:rsidR="00CD5946" w:rsidRDefault="00000000">
      <w:pPr>
        <w:pStyle w:val="Heading2"/>
        <w:spacing w:before="220"/>
      </w:pPr>
      <w:bookmarkStart w:id="202" w:name="__RefHeading___Toc9561_1729075678"/>
      <w:bookmarkEnd w:id="202"/>
      <w:r>
        <w:t>1.  General</w:t>
      </w:r>
      <w:r>
        <w:rPr>
          <w:b w:val="0"/>
          <w:bCs w:val="0"/>
          <w:color w:val="1A1A1A"/>
          <w:sz w:val="21"/>
          <w:szCs w:val="21"/>
        </w:rPr>
        <w:t xml:space="preserve">   </w:t>
      </w:r>
      <w:r>
        <w:rPr>
          <w:color w:val="C8A24B"/>
          <w:sz w:val="20"/>
          <w:szCs w:val="20"/>
          <w:rtl/>
        </w:rPr>
        <w:t>عام</w:t>
      </w:r>
    </w:p>
    <w:p w14:paraId="4EEB9339" w14:textId="77777777" w:rsidR="00CD5946" w:rsidRDefault="00000000">
      <w:pPr>
        <w:spacing w:after="40" w:line="266" w:lineRule="auto"/>
        <w:ind w:left="300" w:hanging="300"/>
      </w:pPr>
      <w:r>
        <w:rPr>
          <w:rFonts w:ascii="Arial" w:eastAsia="Arial" w:hAnsi="Arial"/>
          <w:b/>
          <w:bCs/>
          <w:color w:val="15512F"/>
        </w:rPr>
        <w:lastRenderedPageBreak/>
        <w:t xml:space="preserve">1.1  </w:t>
      </w:r>
      <w:r>
        <w:rPr>
          <w:rFonts w:ascii="Arial" w:eastAsia="Arial" w:hAnsi="Arial"/>
          <w:color w:val="1A1A1A"/>
        </w:rPr>
        <w:t>A quality-risk-management approach shall be applied throughout the lifecycle of a medicinal product. As part of a quality-risk-management system, decisions on the scope and extent of qualification and validation shall be based on a justified and documented risk assessment of the facilities, equipment, utilities and processes. Retrospective validation is no longer considered an acceptable approach.</w:t>
      </w:r>
    </w:p>
    <w:p w14:paraId="3E7BD450" w14:textId="77777777" w:rsidR="00CD5946" w:rsidRDefault="00000000">
      <w:pPr>
        <w:bidi/>
        <w:spacing w:after="150" w:line="300" w:lineRule="auto"/>
        <w:ind w:right="300" w:hanging="300"/>
        <w:jc w:val="right"/>
      </w:pPr>
      <w:r>
        <w:rPr>
          <w:rFonts w:ascii="Arial" w:eastAsia="Arial" w:hAnsi="Arial"/>
          <w:color w:val="333333"/>
          <w:sz w:val="20"/>
          <w:szCs w:val="20"/>
          <w:rtl/>
        </w:rPr>
        <w:t>يُطبّق نهج إدارة مخاطر الجودة طوال دورة حياة المنتج. ويستند نطاق ومدى التأهيل والتحقّق إلى تقييم مخاطر موثّق ومُبرّر للمرافق والمعدّات والمنافع والعمليات. ولم يعد التحقّق الرجعي نهجاً مقبولاً.</w:t>
      </w:r>
      <w:r>
        <w:rPr>
          <w:rFonts w:ascii="Arial" w:eastAsia="Arial" w:hAnsi="Arial"/>
          <w:b/>
          <w:bCs/>
          <w:color w:val="15512F"/>
          <w:sz w:val="20"/>
          <w:szCs w:val="20"/>
          <w:rtl/>
        </w:rPr>
        <w:t xml:space="preserve">  ⁦</w:t>
      </w:r>
      <w:r>
        <w:rPr>
          <w:rFonts w:ascii="Arial" w:eastAsia="Arial" w:hAnsi="Arial"/>
          <w:b/>
          <w:bCs/>
          <w:color w:val="15512F"/>
          <w:sz w:val="20"/>
          <w:szCs w:val="20"/>
        </w:rPr>
        <w:t>1.1</w:t>
      </w:r>
      <w:r>
        <w:rPr>
          <w:rFonts w:ascii="Arial" w:eastAsia="Arial" w:hAnsi="Arial"/>
          <w:b/>
          <w:bCs/>
          <w:color w:val="15512F"/>
          <w:sz w:val="20"/>
          <w:szCs w:val="20"/>
          <w:rtl/>
        </w:rPr>
        <w:t>⁩</w:t>
      </w:r>
    </w:p>
    <w:p w14:paraId="2F8CDC67" w14:textId="77777777" w:rsidR="00CD5946" w:rsidRDefault="00000000">
      <w:pPr>
        <w:spacing w:after="40" w:line="266" w:lineRule="auto"/>
        <w:ind w:left="300" w:hanging="300"/>
      </w:pPr>
      <w:r>
        <w:rPr>
          <w:rFonts w:ascii="Arial" w:eastAsia="Arial" w:hAnsi="Arial"/>
          <w:b/>
          <w:bCs/>
          <w:color w:val="15512F"/>
        </w:rPr>
        <w:t xml:space="preserve">1.2  </w:t>
      </w:r>
      <w:r>
        <w:rPr>
          <w:rFonts w:ascii="Arial" w:eastAsia="Arial" w:hAnsi="Arial"/>
          <w:color w:val="1A1A1A"/>
        </w:rPr>
        <w:t>Data supporting qualification and/or validation studies which were obtained from sources outside the manufacturer’s own programme may be used provided that the approach and the data are justified, the controls applied are demonstrated to be equivalent, and the responsibility for the validity of such data is retained and documented within the manufacturer’s pharmaceutical quality system.</w:t>
      </w:r>
    </w:p>
    <w:p w14:paraId="49F01F01" w14:textId="77777777" w:rsidR="00CD5946" w:rsidRDefault="00000000">
      <w:pPr>
        <w:bidi/>
        <w:spacing w:after="150" w:line="300" w:lineRule="auto"/>
        <w:ind w:right="300" w:hanging="300"/>
        <w:jc w:val="right"/>
      </w:pPr>
      <w:r>
        <w:rPr>
          <w:rFonts w:ascii="Arial" w:eastAsia="Arial" w:hAnsi="Arial"/>
          <w:color w:val="333333"/>
          <w:sz w:val="20"/>
          <w:szCs w:val="20"/>
          <w:rtl/>
        </w:rPr>
        <w:t>يجوز استخدام بيانات داعمة للتأهيل أو التحقّق مستمدّة من مصادر خارج برنامج المصنّع، شريطة تبرير النهج والبيانات، وإثبات تكافؤ الضوابط المُطبّقة، والاحتفاظ بالمسؤولية عن صحّة تلك البيانات وتوثيقها ضمن نظام جودة المصنّع.</w:t>
      </w:r>
      <w:r>
        <w:rPr>
          <w:rFonts w:ascii="Arial" w:eastAsia="Arial" w:hAnsi="Arial"/>
          <w:b/>
          <w:bCs/>
          <w:color w:val="15512F"/>
          <w:sz w:val="20"/>
          <w:szCs w:val="20"/>
          <w:rtl/>
        </w:rPr>
        <w:t xml:space="preserve">  ⁦</w:t>
      </w:r>
      <w:r>
        <w:rPr>
          <w:rFonts w:ascii="Arial" w:eastAsia="Arial" w:hAnsi="Arial"/>
          <w:b/>
          <w:bCs/>
          <w:color w:val="15512F"/>
          <w:sz w:val="20"/>
          <w:szCs w:val="20"/>
        </w:rPr>
        <w:t>1.2</w:t>
      </w:r>
      <w:r>
        <w:rPr>
          <w:rFonts w:ascii="Arial" w:eastAsia="Arial" w:hAnsi="Arial"/>
          <w:b/>
          <w:bCs/>
          <w:color w:val="15512F"/>
          <w:sz w:val="20"/>
          <w:szCs w:val="20"/>
          <w:rtl/>
        </w:rPr>
        <w:t>⁩</w:t>
      </w:r>
    </w:p>
    <w:p w14:paraId="1BE23D10" w14:textId="77777777" w:rsidR="00CD5946" w:rsidRDefault="00000000">
      <w:pPr>
        <w:pStyle w:val="Heading2"/>
        <w:spacing w:before="220"/>
      </w:pPr>
      <w:bookmarkStart w:id="203" w:name="__RefHeading___Toc9563_1729075678"/>
      <w:bookmarkEnd w:id="203"/>
      <w:r>
        <w:t>2.  Organising and planning for qualification and validation</w:t>
      </w:r>
      <w:r>
        <w:rPr>
          <w:b w:val="0"/>
          <w:bCs w:val="0"/>
          <w:color w:val="1A1A1A"/>
          <w:sz w:val="21"/>
          <w:szCs w:val="21"/>
        </w:rPr>
        <w:t xml:space="preserve">   </w:t>
      </w:r>
      <w:r>
        <w:rPr>
          <w:color w:val="C8A24B"/>
          <w:sz w:val="20"/>
          <w:szCs w:val="20"/>
          <w:rtl/>
        </w:rPr>
        <w:t>تنظيم وتخطيط التأهيل والتحقّق</w:t>
      </w:r>
    </w:p>
    <w:p w14:paraId="514D3E2B" w14:textId="77777777" w:rsidR="00CD5946" w:rsidRDefault="00000000">
      <w:pPr>
        <w:spacing w:after="40" w:line="266" w:lineRule="auto"/>
        <w:ind w:left="300" w:hanging="300"/>
      </w:pPr>
      <w:r>
        <w:rPr>
          <w:rFonts w:ascii="Arial" w:eastAsia="Arial" w:hAnsi="Arial"/>
          <w:b/>
          <w:bCs/>
          <w:color w:val="15512F"/>
        </w:rPr>
        <w:t xml:space="preserve">2.1  </w:t>
      </w:r>
      <w:r>
        <w:rPr>
          <w:rFonts w:ascii="Arial" w:eastAsia="Arial" w:hAnsi="Arial"/>
          <w:color w:val="1A1A1A"/>
        </w:rPr>
        <w:t>All qualification and validation activities shall be planned and shall take the lifecycle of facilities, equipment, utilities, process and product into consideration. Qualification and validation activities shall only be performed by suitably trained personnel who follow approved procedures. Those personnel shall be subject to ongoing review to ensure that they remain qualified for the activities performed.</w:t>
      </w:r>
    </w:p>
    <w:p w14:paraId="1B56C9AC" w14:textId="77777777" w:rsidR="00CD5946" w:rsidRDefault="00000000">
      <w:pPr>
        <w:bidi/>
        <w:spacing w:after="150" w:line="300" w:lineRule="auto"/>
        <w:ind w:right="300" w:hanging="300"/>
        <w:jc w:val="right"/>
      </w:pPr>
      <w:r>
        <w:rPr>
          <w:rFonts w:ascii="Arial" w:eastAsia="Arial" w:hAnsi="Arial"/>
          <w:color w:val="333333"/>
          <w:sz w:val="20"/>
          <w:szCs w:val="20"/>
          <w:rtl/>
        </w:rPr>
        <w:t>تُخطّط جميع أنشطة التأهيل والتحقّق مع مراعاة دورة حياة المرافق والمعدّات والمنافع والعملية والمنتج. ولا يُنفّذها إلّا أفراد مؤهّلون مدرّبون يتبعون إجراءات معتمدة، ويخضعون لمراجعة مستمرة للتأكّد من استمرار تأهيلهم.</w:t>
      </w:r>
      <w:r>
        <w:rPr>
          <w:rFonts w:ascii="Arial" w:eastAsia="Arial" w:hAnsi="Arial"/>
          <w:b/>
          <w:bCs/>
          <w:color w:val="15512F"/>
          <w:sz w:val="20"/>
          <w:szCs w:val="20"/>
          <w:rtl/>
        </w:rPr>
        <w:t xml:space="preserve">  ⁦</w:t>
      </w:r>
      <w:r>
        <w:rPr>
          <w:rFonts w:ascii="Arial" w:eastAsia="Arial" w:hAnsi="Arial"/>
          <w:b/>
          <w:bCs/>
          <w:color w:val="15512F"/>
          <w:sz w:val="20"/>
          <w:szCs w:val="20"/>
        </w:rPr>
        <w:t>2.1</w:t>
      </w:r>
      <w:r>
        <w:rPr>
          <w:rFonts w:ascii="Arial" w:eastAsia="Arial" w:hAnsi="Arial"/>
          <w:b/>
          <w:bCs/>
          <w:color w:val="15512F"/>
          <w:sz w:val="20"/>
          <w:szCs w:val="20"/>
          <w:rtl/>
        </w:rPr>
        <w:t>⁩</w:t>
      </w:r>
    </w:p>
    <w:p w14:paraId="6B837AFD" w14:textId="77777777" w:rsidR="00CD5946" w:rsidRDefault="00000000">
      <w:pPr>
        <w:spacing w:after="40" w:line="266" w:lineRule="auto"/>
        <w:ind w:left="300" w:hanging="300"/>
      </w:pPr>
      <w:r>
        <w:rPr>
          <w:rFonts w:ascii="Arial" w:eastAsia="Arial" w:hAnsi="Arial"/>
          <w:b/>
          <w:bCs/>
          <w:color w:val="15512F"/>
        </w:rPr>
        <w:t xml:space="preserve">2.2  </w:t>
      </w:r>
      <w:r>
        <w:rPr>
          <w:rFonts w:ascii="Arial" w:eastAsia="Arial" w:hAnsi="Arial"/>
          <w:color w:val="1A1A1A"/>
        </w:rPr>
        <w:t>The key elements of the site qualification and validation programme shall be clearly defined and documented in a Validation Master Plan (VMP) or equivalent document. The VMP or equivalent shall describe at least: the qualification and validation policy; the organisational structure including roles and responsibilities; a summary of the facilities, equipment, systems and processes on site and their qualification/validation status; change control and deviation management; guidance on acceptance criteria; references to existing documents; and the lifecycle strategy and re-qualification approach.</w:t>
      </w:r>
    </w:p>
    <w:p w14:paraId="2E121BE5" w14:textId="77777777" w:rsidR="00CD5946" w:rsidRDefault="00000000">
      <w:pPr>
        <w:bidi/>
        <w:spacing w:after="150" w:line="300" w:lineRule="auto"/>
        <w:ind w:right="300" w:hanging="300"/>
        <w:jc w:val="right"/>
      </w:pPr>
      <w:r>
        <w:rPr>
          <w:rFonts w:ascii="Arial" w:eastAsia="Arial" w:hAnsi="Arial"/>
          <w:color w:val="333333"/>
          <w:sz w:val="20"/>
          <w:szCs w:val="20"/>
          <w:rtl/>
        </w:rPr>
        <w:t>تُحدّد العناصر الرئيسية لبرنامج التأهيل والتحقّق وتُوثّق في خطة تحقّق رئيسية (</w:t>
      </w:r>
      <w:r>
        <w:rPr>
          <w:rFonts w:ascii="Arial" w:eastAsia="Arial" w:hAnsi="Arial"/>
          <w:color w:val="333333"/>
          <w:sz w:val="20"/>
          <w:szCs w:val="20"/>
        </w:rPr>
        <w:t>VMP</w:t>
      </w:r>
      <w:r>
        <w:rPr>
          <w:rFonts w:ascii="Arial" w:eastAsia="Arial" w:hAnsi="Arial"/>
          <w:color w:val="333333"/>
          <w:sz w:val="20"/>
          <w:szCs w:val="20"/>
          <w:rtl/>
        </w:rPr>
        <w:t>) أو وثيقة مكافئة. وتصف على الأقل: سياسة التأهيل والتحقّق؛ والهيكل التنظيمي والمسؤوليات؛ وملخّصاً للمرافق والمعدّات والأنظمة والعمليات وحالات تأهيلها؛ وضبط التغيير وإدارة الانحرافات؛ وإرشادات معايير القبول؛ والمراجع القائمة؛ واستراتيجية دورة الحياة وإعادة التأهيل.</w:t>
      </w:r>
      <w:r>
        <w:rPr>
          <w:rFonts w:ascii="Arial" w:eastAsia="Arial" w:hAnsi="Arial"/>
          <w:b/>
          <w:bCs/>
          <w:color w:val="15512F"/>
          <w:sz w:val="20"/>
          <w:szCs w:val="20"/>
          <w:rtl/>
        </w:rPr>
        <w:t xml:space="preserve">  ⁦</w:t>
      </w:r>
      <w:r>
        <w:rPr>
          <w:rFonts w:ascii="Arial" w:eastAsia="Arial" w:hAnsi="Arial"/>
          <w:b/>
          <w:bCs/>
          <w:color w:val="15512F"/>
          <w:sz w:val="20"/>
          <w:szCs w:val="20"/>
        </w:rPr>
        <w:t>2.2</w:t>
      </w:r>
      <w:r>
        <w:rPr>
          <w:rFonts w:ascii="Arial" w:eastAsia="Arial" w:hAnsi="Arial"/>
          <w:b/>
          <w:bCs/>
          <w:color w:val="15512F"/>
          <w:sz w:val="20"/>
          <w:szCs w:val="20"/>
          <w:rtl/>
        </w:rPr>
        <w:t>⁩</w:t>
      </w:r>
    </w:p>
    <w:p w14:paraId="07C4EDE5" w14:textId="77777777" w:rsidR="00CD5946" w:rsidRDefault="00000000">
      <w:pPr>
        <w:spacing w:after="40" w:line="266" w:lineRule="auto"/>
        <w:ind w:left="300" w:hanging="300"/>
      </w:pPr>
      <w:r>
        <w:rPr>
          <w:rFonts w:ascii="Arial" w:eastAsia="Arial" w:hAnsi="Arial"/>
          <w:b/>
          <w:bCs/>
          <w:color w:val="15512F"/>
        </w:rPr>
        <w:t xml:space="preserve">2.3  </w:t>
      </w:r>
      <w:r>
        <w:rPr>
          <w:rFonts w:ascii="Arial" w:eastAsia="Arial" w:hAnsi="Arial"/>
          <w:color w:val="1A1A1A"/>
        </w:rPr>
        <w:t>For large and complex projects, planning takes on added importance, and the definition of responsibilities and arrangements between parties shall be clear. Quality risk management shall be used to support the determination of the scope and extent of qualification and validation activities, including identification of critical aspects to be tested and the rationale for the chosen approach.</w:t>
      </w:r>
    </w:p>
    <w:p w14:paraId="28E72B88" w14:textId="77777777" w:rsidR="00CD5946" w:rsidRDefault="00000000">
      <w:pPr>
        <w:bidi/>
        <w:spacing w:after="150" w:line="300" w:lineRule="auto"/>
        <w:ind w:right="300" w:hanging="300"/>
        <w:jc w:val="right"/>
      </w:pPr>
      <w:r>
        <w:rPr>
          <w:rFonts w:ascii="Arial" w:eastAsia="Arial" w:hAnsi="Arial"/>
          <w:color w:val="333333"/>
          <w:sz w:val="20"/>
          <w:szCs w:val="20"/>
          <w:rtl/>
        </w:rPr>
        <w:t>في المشاريع الكبيرة والمعقّدة يزداد التخطيط أهمية، وتُحدّد المسؤوليات والترتيبات بين الأطراف بوضوح. وتُستخدم إدارة المخاطر لتحديد نطاق ومدى أنشطة التأهيل والتحقّق، بما يشمل تحديد الجوانب الحرجة والمبرّرات.</w:t>
      </w:r>
      <w:r>
        <w:rPr>
          <w:rFonts w:ascii="Arial" w:eastAsia="Arial" w:hAnsi="Arial"/>
          <w:b/>
          <w:bCs/>
          <w:color w:val="15512F"/>
          <w:sz w:val="20"/>
          <w:szCs w:val="20"/>
          <w:rtl/>
        </w:rPr>
        <w:t xml:space="preserve">  ⁦</w:t>
      </w:r>
      <w:r>
        <w:rPr>
          <w:rFonts w:ascii="Arial" w:eastAsia="Arial" w:hAnsi="Arial"/>
          <w:b/>
          <w:bCs/>
          <w:color w:val="15512F"/>
          <w:sz w:val="20"/>
          <w:szCs w:val="20"/>
        </w:rPr>
        <w:t>2.3</w:t>
      </w:r>
      <w:r>
        <w:rPr>
          <w:rFonts w:ascii="Arial" w:eastAsia="Arial" w:hAnsi="Arial"/>
          <w:b/>
          <w:bCs/>
          <w:color w:val="15512F"/>
          <w:sz w:val="20"/>
          <w:szCs w:val="20"/>
          <w:rtl/>
        </w:rPr>
        <w:t>⁩</w:t>
      </w:r>
    </w:p>
    <w:p w14:paraId="477DC2DE" w14:textId="77777777" w:rsidR="00CD5946" w:rsidRDefault="00000000">
      <w:pP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For small sites or simple operations, the Validation Master Plan need not be a separate volume; its content may be incorporated into the Site Master File or an equivalent controlled document, provided all the required elements are addressed and remain readily retrievable.</w:t>
      </w:r>
    </w:p>
    <w:p w14:paraId="3EA99CE9" w14:textId="77777777" w:rsidR="00CD5946" w:rsidRDefault="00000000">
      <w:pPr>
        <w:bidi/>
        <w:spacing w:after="140"/>
        <w:ind w:right="300"/>
        <w:jc w:val="right"/>
      </w:pPr>
      <w:r>
        <w:rPr>
          <w:rFonts w:ascii="Arial" w:eastAsia="Arial" w:hAnsi="Arial"/>
          <w:color w:val="5A5A5A"/>
          <w:sz w:val="18"/>
          <w:szCs w:val="18"/>
          <w:rtl/>
        </w:rPr>
        <w:t>في المواقع الصغيرة أو العمليات البسيطة لا يلزم أن تكون خطة التحقّق الرئيسية مجلّداً منفصلاً؛ إذ يمكن دمج محتواها في ملف الموقع الرئيسي أو وثيقة مضبوطة مكافئة، شريطة تغطية جميع العناصر المطلوبة وسهولة استرجاعها.</w:t>
      </w:r>
      <w:r>
        <w:rPr>
          <w:rFonts w:ascii="Arial" w:eastAsia="Arial" w:hAnsi="Arial"/>
          <w:b/>
          <w:bCs/>
          <w:color w:val="5A5A5A"/>
          <w:sz w:val="18"/>
          <w:szCs w:val="18"/>
          <w:rtl/>
        </w:rPr>
        <w:t xml:space="preserve">  ملاحظة.</w:t>
      </w:r>
    </w:p>
    <w:p w14:paraId="0BF55D75" w14:textId="77777777" w:rsidR="00CD5946" w:rsidRDefault="00000000">
      <w:pPr>
        <w:pStyle w:val="Heading2"/>
        <w:spacing w:before="220"/>
      </w:pPr>
      <w:bookmarkStart w:id="204" w:name="__RefHeading___Toc9565_1729075678"/>
      <w:bookmarkEnd w:id="204"/>
      <w:r>
        <w:lastRenderedPageBreak/>
        <w:t>3.  Documentation, including the VMP</w:t>
      </w:r>
      <w:r>
        <w:rPr>
          <w:b w:val="0"/>
          <w:bCs w:val="0"/>
          <w:color w:val="1A1A1A"/>
          <w:sz w:val="21"/>
          <w:szCs w:val="21"/>
        </w:rPr>
        <w:t xml:space="preserve">   </w:t>
      </w:r>
      <w:r>
        <w:rPr>
          <w:color w:val="C8A24B"/>
          <w:sz w:val="20"/>
          <w:szCs w:val="20"/>
          <w:rtl/>
        </w:rPr>
        <w:t>التوثيق وخطة التحقّق الرئيسية</w:t>
      </w:r>
    </w:p>
    <w:p w14:paraId="5F0EF791" w14:textId="77777777" w:rsidR="00CD5946" w:rsidRDefault="00000000">
      <w:pPr>
        <w:spacing w:after="40" w:line="266" w:lineRule="auto"/>
        <w:ind w:left="300" w:hanging="300"/>
      </w:pPr>
      <w:r>
        <w:rPr>
          <w:rFonts w:ascii="Arial" w:eastAsia="Arial" w:hAnsi="Arial"/>
          <w:b/>
          <w:bCs/>
          <w:color w:val="15512F"/>
        </w:rPr>
        <w:t xml:space="preserve">3.1  </w:t>
      </w:r>
      <w:r>
        <w:rPr>
          <w:rFonts w:ascii="Arial" w:eastAsia="Arial" w:hAnsi="Arial"/>
          <w:color w:val="1A1A1A"/>
        </w:rPr>
        <w:t>Good documentation practices are essential to support knowledge management throughout the product lifecycle. Protocols shall be prepared in advance, shall define the critical systems, attributes, parameters and the associated acceptance criteria, and shall be approved. Where significant changes to a protocol are made during execution, they shall be documented and justified. Results that fail to meet pre-defined acceptance criteria shall be recorded as a deviation, investigated and resolved before the report is approved.</w:t>
      </w:r>
    </w:p>
    <w:p w14:paraId="5C3C5A01" w14:textId="77777777" w:rsidR="00CD5946" w:rsidRDefault="00000000">
      <w:pPr>
        <w:bidi/>
        <w:spacing w:after="150" w:line="300" w:lineRule="auto"/>
        <w:ind w:right="300" w:hanging="300"/>
        <w:jc w:val="right"/>
      </w:pPr>
      <w:r>
        <w:rPr>
          <w:rFonts w:ascii="Arial" w:eastAsia="Arial" w:hAnsi="Arial"/>
          <w:color w:val="333333"/>
          <w:sz w:val="20"/>
          <w:szCs w:val="20"/>
          <w:rtl/>
        </w:rPr>
        <w:t>تُعدّ ممارسات التوثيق الجيدة جوهرية لدعم إدارة المعرفة طوال دورة الحياة. وتُعدّ البروتوكولات مسبقاً وتُحدّد الأنظمة والسمات والمتغيّرات الحرجة ومعايير القبول، وتُعتمد. وتُوثّق وتُبرّر أيّ تغييرات جوهرية أثناء التنفيذ. وتُسجّل النتائج التي لا تستوفي معايير القبول كانحراف وتُحقّق وتُحلّ قبل اعتماد التقرير.</w:t>
      </w:r>
      <w:r>
        <w:rPr>
          <w:rFonts w:ascii="Arial" w:eastAsia="Arial" w:hAnsi="Arial"/>
          <w:b/>
          <w:bCs/>
          <w:color w:val="15512F"/>
          <w:sz w:val="20"/>
          <w:szCs w:val="20"/>
          <w:rtl/>
        </w:rPr>
        <w:t xml:space="preserve">  ⁦</w:t>
      </w:r>
      <w:r>
        <w:rPr>
          <w:rFonts w:ascii="Arial" w:eastAsia="Arial" w:hAnsi="Arial"/>
          <w:b/>
          <w:bCs/>
          <w:color w:val="15512F"/>
          <w:sz w:val="20"/>
          <w:szCs w:val="20"/>
        </w:rPr>
        <w:t>3.1</w:t>
      </w:r>
      <w:r>
        <w:rPr>
          <w:rFonts w:ascii="Arial" w:eastAsia="Arial" w:hAnsi="Arial"/>
          <w:b/>
          <w:bCs/>
          <w:color w:val="15512F"/>
          <w:sz w:val="20"/>
          <w:szCs w:val="20"/>
          <w:rtl/>
        </w:rPr>
        <w:t>⁩</w:t>
      </w:r>
    </w:p>
    <w:p w14:paraId="1255BA86" w14:textId="77777777" w:rsidR="00CD5946" w:rsidRDefault="00000000">
      <w:pPr>
        <w:pStyle w:val="Heading2"/>
        <w:spacing w:before="220"/>
      </w:pPr>
      <w:bookmarkStart w:id="205" w:name="__RefHeading___Toc9567_1729075678"/>
      <w:bookmarkEnd w:id="205"/>
      <w:r>
        <w:t>4.  Qualification stages for equipment, facilities, utilities and systems</w:t>
      </w:r>
      <w:r>
        <w:rPr>
          <w:b w:val="0"/>
          <w:bCs w:val="0"/>
          <w:color w:val="1A1A1A"/>
          <w:sz w:val="21"/>
          <w:szCs w:val="21"/>
        </w:rPr>
        <w:t xml:space="preserve">   </w:t>
      </w:r>
      <w:r>
        <w:rPr>
          <w:color w:val="C8A24B"/>
          <w:sz w:val="20"/>
          <w:szCs w:val="20"/>
          <w:rtl/>
        </w:rPr>
        <w:t>مراحل تأهيل المعدّات والمرافق والمنافع والأنظمة</w:t>
      </w:r>
    </w:p>
    <w:p w14:paraId="7DE15834" w14:textId="77777777" w:rsidR="00CD5946" w:rsidRDefault="00000000">
      <w:pPr>
        <w:spacing w:after="40" w:line="266" w:lineRule="auto"/>
        <w:ind w:left="300" w:hanging="300"/>
      </w:pPr>
      <w:r>
        <w:rPr>
          <w:rFonts w:ascii="Arial" w:eastAsia="Arial" w:hAnsi="Arial"/>
          <w:b/>
          <w:bCs/>
          <w:color w:val="15512F"/>
        </w:rPr>
        <w:t xml:space="preserve">4.1  </w:t>
      </w:r>
      <w:r>
        <w:rPr>
          <w:rFonts w:ascii="Arial" w:eastAsia="Arial" w:hAnsi="Arial"/>
          <w:color w:val="1A1A1A"/>
        </w:rPr>
        <w:t>Qualification activities shall consider all stages from initial development of the user requirements specification through to the end of use. The main stages and their responsibilities shall be identified in the VMP. Qualification may be supported by, and integrated with, supplier activities (for example FAT and SAT), provided the documentation is reviewed and the responsibility for the qualified state remains with the manufacturer.</w:t>
      </w:r>
    </w:p>
    <w:p w14:paraId="4901C591"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تتناول أنشطة التأهيل جميع المراحل من إعداد مواصفات احتياجات المستخدم حتّى نهاية الاستخدام، وتُحدّد المراحل والمسؤوليات في خطة التحقّق الرئيسية. ويمكن دعم التأهيل بأنشطة المورّد (كـ </w:t>
      </w:r>
      <w:r>
        <w:rPr>
          <w:rFonts w:ascii="Arial" w:eastAsia="Arial" w:hAnsi="Arial"/>
          <w:color w:val="333333"/>
          <w:sz w:val="20"/>
          <w:szCs w:val="20"/>
        </w:rPr>
        <w:t>FAT</w:t>
      </w:r>
      <w:r>
        <w:rPr>
          <w:rFonts w:ascii="Arial" w:eastAsia="Arial" w:hAnsi="Arial"/>
          <w:color w:val="333333"/>
          <w:sz w:val="20"/>
          <w:szCs w:val="20"/>
          <w:rtl/>
        </w:rPr>
        <w:t xml:space="preserve"> و</w:t>
      </w:r>
      <w:r>
        <w:rPr>
          <w:rFonts w:ascii="Arial" w:eastAsia="Arial" w:hAnsi="Arial"/>
          <w:color w:val="333333"/>
          <w:sz w:val="20"/>
          <w:szCs w:val="20"/>
        </w:rPr>
        <w:t>SAT</w:t>
      </w:r>
      <w:r>
        <w:rPr>
          <w:rFonts w:ascii="Arial" w:eastAsia="Arial" w:hAnsi="Arial"/>
          <w:color w:val="333333"/>
          <w:sz w:val="20"/>
          <w:szCs w:val="20"/>
          <w:rtl/>
        </w:rPr>
        <w:t>) شريطة مراجعة الوثائق وبقاء المسؤولية لدى المصنّع.</w:t>
      </w:r>
      <w:r>
        <w:rPr>
          <w:rFonts w:ascii="Arial" w:eastAsia="Arial" w:hAnsi="Arial"/>
          <w:b/>
          <w:bCs/>
          <w:color w:val="15512F"/>
          <w:sz w:val="20"/>
          <w:szCs w:val="20"/>
          <w:rtl/>
        </w:rPr>
        <w:t xml:space="preserve">  ⁦</w:t>
      </w:r>
      <w:r>
        <w:rPr>
          <w:rFonts w:ascii="Arial" w:eastAsia="Arial" w:hAnsi="Arial"/>
          <w:b/>
          <w:bCs/>
          <w:color w:val="15512F"/>
          <w:sz w:val="20"/>
          <w:szCs w:val="20"/>
        </w:rPr>
        <w:t>4.1</w:t>
      </w:r>
      <w:r>
        <w:rPr>
          <w:rFonts w:ascii="Arial" w:eastAsia="Arial" w:hAnsi="Arial"/>
          <w:b/>
          <w:bCs/>
          <w:color w:val="15512F"/>
          <w:sz w:val="20"/>
          <w:szCs w:val="20"/>
          <w:rtl/>
        </w:rPr>
        <w:t>⁩</w:t>
      </w:r>
    </w:p>
    <w:p w14:paraId="64051D1F" w14:textId="77777777" w:rsidR="00CD5946" w:rsidRDefault="00000000">
      <w:pPr>
        <w:spacing w:after="40" w:line="266" w:lineRule="auto"/>
        <w:ind w:left="300" w:hanging="300"/>
      </w:pPr>
      <w:r>
        <w:rPr>
          <w:rFonts w:ascii="Arial" w:eastAsia="Arial" w:hAnsi="Arial"/>
          <w:b/>
          <w:bCs/>
          <w:color w:val="15512F"/>
        </w:rPr>
        <w:t xml:space="preserve">4.2  </w:t>
      </w:r>
      <w:r>
        <w:rPr>
          <w:rFonts w:ascii="Arial" w:eastAsia="Arial" w:hAnsi="Arial"/>
          <w:color w:val="1A1A1A"/>
        </w:rPr>
        <w:t>User Requirements Specification (URS): the specification for equipment, facilities, utilities or systems shall be defined in a URS and/or a functional specification. The essential elements of quality (the critical quality and critical process requirements) shall be built in at this stage and any GMP risks mitigated to an acceptable level. The URS shall be a point of reference throughout the validation lifecycle.</w:t>
      </w:r>
    </w:p>
    <w:p w14:paraId="333B191C" w14:textId="77777777" w:rsidR="00CD5946" w:rsidRDefault="00000000">
      <w:pPr>
        <w:bidi/>
        <w:spacing w:after="150" w:line="300" w:lineRule="auto"/>
        <w:ind w:right="300" w:hanging="300"/>
        <w:jc w:val="right"/>
      </w:pPr>
      <w:r>
        <w:rPr>
          <w:rFonts w:ascii="Arial" w:eastAsia="Arial" w:hAnsi="Arial"/>
          <w:color w:val="333333"/>
          <w:sz w:val="20"/>
          <w:szCs w:val="20"/>
          <w:rtl/>
        </w:rPr>
        <w:t>مواصفات احتياجات المستخدم (</w:t>
      </w:r>
      <w:r>
        <w:rPr>
          <w:rFonts w:ascii="Arial" w:eastAsia="Arial" w:hAnsi="Arial"/>
          <w:color w:val="333333"/>
          <w:sz w:val="20"/>
          <w:szCs w:val="20"/>
        </w:rPr>
        <w:t>URS</w:t>
      </w:r>
      <w:r>
        <w:rPr>
          <w:rFonts w:ascii="Arial" w:eastAsia="Arial" w:hAnsi="Arial"/>
          <w:color w:val="333333"/>
          <w:sz w:val="20"/>
          <w:szCs w:val="20"/>
          <w:rtl/>
        </w:rPr>
        <w:t xml:space="preserve">): تُحدّد مواصفات المعدّات والمرافق والمنافع والأنظمة في وثيقة </w:t>
      </w:r>
      <w:r>
        <w:rPr>
          <w:rFonts w:ascii="Arial" w:eastAsia="Arial" w:hAnsi="Arial"/>
          <w:color w:val="333333"/>
          <w:sz w:val="20"/>
          <w:szCs w:val="20"/>
        </w:rPr>
        <w:t>URS</w:t>
      </w:r>
      <w:r>
        <w:rPr>
          <w:rFonts w:ascii="Arial" w:eastAsia="Arial" w:hAnsi="Arial"/>
          <w:color w:val="333333"/>
          <w:sz w:val="20"/>
          <w:szCs w:val="20"/>
          <w:rtl/>
        </w:rPr>
        <w:t xml:space="preserve"> و/أو مواصفة وظيفية. وتُدمَج عناصر الجودة الجوهرية (المتطلبات الحرجة للجودة والعملية) في هذه المرحلة وتُخفّف مخاطر </w:t>
      </w:r>
      <w:r>
        <w:rPr>
          <w:rFonts w:ascii="Arial" w:eastAsia="Arial" w:hAnsi="Arial"/>
          <w:color w:val="333333"/>
          <w:sz w:val="20"/>
          <w:szCs w:val="20"/>
        </w:rPr>
        <w:t>GMP</w:t>
      </w:r>
      <w:r>
        <w:rPr>
          <w:rFonts w:ascii="Arial" w:eastAsia="Arial" w:hAnsi="Arial"/>
          <w:color w:val="333333"/>
          <w:sz w:val="20"/>
          <w:szCs w:val="20"/>
          <w:rtl/>
        </w:rPr>
        <w:t xml:space="preserve"> إلى مستوى مقبول، وتبقى </w:t>
      </w:r>
      <w:r>
        <w:rPr>
          <w:rFonts w:ascii="Arial" w:eastAsia="Arial" w:hAnsi="Arial"/>
          <w:color w:val="333333"/>
          <w:sz w:val="20"/>
          <w:szCs w:val="20"/>
        </w:rPr>
        <w:t>URS</w:t>
      </w:r>
      <w:r>
        <w:rPr>
          <w:rFonts w:ascii="Arial" w:eastAsia="Arial" w:hAnsi="Arial"/>
          <w:color w:val="333333"/>
          <w:sz w:val="20"/>
          <w:szCs w:val="20"/>
          <w:rtl/>
        </w:rPr>
        <w:t xml:space="preserve"> مرجعاً طوال دورة التحقّق.</w:t>
      </w:r>
      <w:r>
        <w:rPr>
          <w:rFonts w:ascii="Arial" w:eastAsia="Arial" w:hAnsi="Arial"/>
          <w:b/>
          <w:bCs/>
          <w:color w:val="15512F"/>
          <w:sz w:val="20"/>
          <w:szCs w:val="20"/>
          <w:rtl/>
        </w:rPr>
        <w:t xml:space="preserve">  ⁦</w:t>
      </w:r>
      <w:r>
        <w:rPr>
          <w:rFonts w:ascii="Arial" w:eastAsia="Arial" w:hAnsi="Arial"/>
          <w:b/>
          <w:bCs/>
          <w:color w:val="15512F"/>
          <w:sz w:val="20"/>
          <w:szCs w:val="20"/>
        </w:rPr>
        <w:t>4.2</w:t>
      </w:r>
      <w:r>
        <w:rPr>
          <w:rFonts w:ascii="Arial" w:eastAsia="Arial" w:hAnsi="Arial"/>
          <w:b/>
          <w:bCs/>
          <w:color w:val="15512F"/>
          <w:sz w:val="20"/>
          <w:szCs w:val="20"/>
          <w:rtl/>
        </w:rPr>
        <w:t>⁩</w:t>
      </w:r>
    </w:p>
    <w:p w14:paraId="7D3F21C2" w14:textId="77777777" w:rsidR="00CD5946" w:rsidRDefault="00000000">
      <w:pPr>
        <w:spacing w:after="40" w:line="266" w:lineRule="auto"/>
        <w:ind w:left="300" w:hanging="300"/>
      </w:pPr>
      <w:r>
        <w:rPr>
          <w:rFonts w:ascii="Arial" w:eastAsia="Arial" w:hAnsi="Arial"/>
          <w:b/>
          <w:bCs/>
          <w:color w:val="15512F"/>
        </w:rPr>
        <w:t xml:space="preserve">4.3  </w:t>
      </w:r>
      <w:r>
        <w:rPr>
          <w:rFonts w:ascii="Arial" w:eastAsia="Arial" w:hAnsi="Arial"/>
          <w:color w:val="1A1A1A"/>
        </w:rPr>
        <w:t>Design Qualification (DQ): the compliance of the design with GMP and with the URS shall be demonstrated and documented. Where appropriate, factory acceptance testing (FAT) and site acceptance testing (SAT) may be performed; for equipment incorporating novel or complex technology, FAT at the vendor prior to delivery can reduce risk. The results shall be assessed against the URS.</w:t>
      </w:r>
    </w:p>
    <w:p w14:paraId="79FF0077" w14:textId="77777777" w:rsidR="00CD5946" w:rsidRDefault="00000000">
      <w:pPr>
        <w:bidi/>
        <w:spacing w:after="150" w:line="300" w:lineRule="auto"/>
        <w:ind w:right="300" w:hanging="300"/>
        <w:jc w:val="right"/>
      </w:pPr>
      <w:r>
        <w:rPr>
          <w:rFonts w:ascii="Arial" w:eastAsia="Arial" w:hAnsi="Arial"/>
          <w:color w:val="333333"/>
          <w:sz w:val="20"/>
          <w:szCs w:val="20"/>
          <w:rtl/>
        </w:rPr>
        <w:t>تأهيل التصميم (</w:t>
      </w:r>
      <w:r>
        <w:rPr>
          <w:rFonts w:ascii="Arial" w:eastAsia="Arial" w:hAnsi="Arial"/>
          <w:color w:val="333333"/>
          <w:sz w:val="20"/>
          <w:szCs w:val="20"/>
        </w:rPr>
        <w:t>DQ</w:t>
      </w:r>
      <w:r>
        <w:rPr>
          <w:rFonts w:ascii="Arial" w:eastAsia="Arial" w:hAnsi="Arial"/>
          <w:color w:val="333333"/>
          <w:sz w:val="20"/>
          <w:szCs w:val="20"/>
          <w:rtl/>
        </w:rPr>
        <w:t xml:space="preserve">): يُثبت ويُوثّق توافق التصميم مع </w:t>
      </w:r>
      <w:r>
        <w:rPr>
          <w:rFonts w:ascii="Arial" w:eastAsia="Arial" w:hAnsi="Arial"/>
          <w:color w:val="333333"/>
          <w:sz w:val="20"/>
          <w:szCs w:val="20"/>
        </w:rPr>
        <w:t>GMP</w:t>
      </w:r>
      <w:r>
        <w:rPr>
          <w:rFonts w:ascii="Arial" w:eastAsia="Arial" w:hAnsi="Arial"/>
          <w:color w:val="333333"/>
          <w:sz w:val="20"/>
          <w:szCs w:val="20"/>
          <w:rtl/>
        </w:rPr>
        <w:t xml:space="preserve"> ومع </w:t>
      </w:r>
      <w:r>
        <w:rPr>
          <w:rFonts w:ascii="Arial" w:eastAsia="Arial" w:hAnsi="Arial"/>
          <w:color w:val="333333"/>
          <w:sz w:val="20"/>
          <w:szCs w:val="20"/>
        </w:rPr>
        <w:t>URS</w:t>
      </w:r>
      <w:r>
        <w:rPr>
          <w:rFonts w:ascii="Arial" w:eastAsia="Arial" w:hAnsi="Arial"/>
          <w:color w:val="333333"/>
          <w:sz w:val="20"/>
          <w:szCs w:val="20"/>
          <w:rtl/>
        </w:rPr>
        <w:t>. وعند الاقتضاء تُجرى اختبارات القبول في المصنع (</w:t>
      </w:r>
      <w:r>
        <w:rPr>
          <w:rFonts w:ascii="Arial" w:eastAsia="Arial" w:hAnsi="Arial"/>
          <w:color w:val="333333"/>
          <w:sz w:val="20"/>
          <w:szCs w:val="20"/>
        </w:rPr>
        <w:t>FAT</w:t>
      </w:r>
      <w:r>
        <w:rPr>
          <w:rFonts w:ascii="Arial" w:eastAsia="Arial" w:hAnsi="Arial"/>
          <w:color w:val="333333"/>
          <w:sz w:val="20"/>
          <w:szCs w:val="20"/>
          <w:rtl/>
        </w:rPr>
        <w:t>) وفي الموقع (</w:t>
      </w:r>
      <w:r>
        <w:rPr>
          <w:rFonts w:ascii="Arial" w:eastAsia="Arial" w:hAnsi="Arial"/>
          <w:color w:val="333333"/>
          <w:sz w:val="20"/>
          <w:szCs w:val="20"/>
        </w:rPr>
        <w:t>SAT</w:t>
      </w:r>
      <w:r>
        <w:rPr>
          <w:rFonts w:ascii="Arial" w:eastAsia="Arial" w:hAnsi="Arial"/>
          <w:color w:val="333333"/>
          <w:sz w:val="20"/>
          <w:szCs w:val="20"/>
          <w:rtl/>
        </w:rPr>
        <w:t xml:space="preserve">)؛ وللمعدّات ذات التقنية المستحدثة أو المعقّدة يُخفّض </w:t>
      </w:r>
      <w:r>
        <w:rPr>
          <w:rFonts w:ascii="Arial" w:eastAsia="Arial" w:hAnsi="Arial"/>
          <w:color w:val="333333"/>
          <w:sz w:val="20"/>
          <w:szCs w:val="20"/>
        </w:rPr>
        <w:t>FAT</w:t>
      </w:r>
      <w:r>
        <w:rPr>
          <w:rFonts w:ascii="Arial" w:eastAsia="Arial" w:hAnsi="Arial"/>
          <w:color w:val="333333"/>
          <w:sz w:val="20"/>
          <w:szCs w:val="20"/>
          <w:rtl/>
        </w:rPr>
        <w:t xml:space="preserve"> لدى المورّد قبل التوريد المخاطر، وتُقيّم النتائج مقابل </w:t>
      </w:r>
      <w:r>
        <w:rPr>
          <w:rFonts w:ascii="Arial" w:eastAsia="Arial" w:hAnsi="Arial"/>
          <w:color w:val="333333"/>
          <w:sz w:val="20"/>
          <w:szCs w:val="20"/>
        </w:rPr>
        <w:t>URS</w:t>
      </w:r>
      <w:r>
        <w:rPr>
          <w:rFonts w:ascii="Arial" w:eastAsia="Arial" w:hAnsi="Arial"/>
          <w:color w:val="333333"/>
          <w:sz w:val="20"/>
          <w:szCs w:val="20"/>
          <w:rtl/>
        </w:rPr>
        <w:t>.</w:t>
      </w:r>
      <w:r>
        <w:rPr>
          <w:rFonts w:ascii="Arial" w:eastAsia="Arial" w:hAnsi="Arial"/>
          <w:b/>
          <w:bCs/>
          <w:color w:val="15512F"/>
          <w:sz w:val="20"/>
          <w:szCs w:val="20"/>
          <w:rtl/>
        </w:rPr>
        <w:t xml:space="preserve">  ⁦</w:t>
      </w:r>
      <w:r>
        <w:rPr>
          <w:rFonts w:ascii="Arial" w:eastAsia="Arial" w:hAnsi="Arial"/>
          <w:b/>
          <w:bCs/>
          <w:color w:val="15512F"/>
          <w:sz w:val="20"/>
          <w:szCs w:val="20"/>
        </w:rPr>
        <w:t>4.3</w:t>
      </w:r>
      <w:r>
        <w:rPr>
          <w:rFonts w:ascii="Arial" w:eastAsia="Arial" w:hAnsi="Arial"/>
          <w:b/>
          <w:bCs/>
          <w:color w:val="15512F"/>
          <w:sz w:val="20"/>
          <w:szCs w:val="20"/>
          <w:rtl/>
        </w:rPr>
        <w:t>⁩</w:t>
      </w:r>
    </w:p>
    <w:p w14:paraId="46C1D223" w14:textId="77777777" w:rsidR="00CD5946" w:rsidRDefault="00000000">
      <w:pPr>
        <w:spacing w:after="40" w:line="266" w:lineRule="auto"/>
        <w:ind w:left="300" w:hanging="300"/>
      </w:pPr>
      <w:r>
        <w:rPr>
          <w:rFonts w:ascii="Arial" w:eastAsia="Arial" w:hAnsi="Arial"/>
          <w:b/>
          <w:bCs/>
          <w:color w:val="15512F"/>
        </w:rPr>
        <w:t xml:space="preserve">4.4  </w:t>
      </w:r>
      <w:r>
        <w:rPr>
          <w:rFonts w:ascii="Arial" w:eastAsia="Arial" w:hAnsi="Arial"/>
          <w:color w:val="1A1A1A"/>
        </w:rPr>
        <w:t>Installation Qualification (IQ): IQ shall be performed on equipment, facilities, utilities and systems and shall include, as a minimum: verification of the correct installation of components, instrumentation, equipment and pipework against engineering drawings and specifications; verification of installation against pre-defined criteria; collection and collation of supplier operating and maintenance instructions and calibration requirements; and verification of construction materials.</w:t>
      </w:r>
    </w:p>
    <w:p w14:paraId="14A75AC4" w14:textId="77777777" w:rsidR="00CD5946" w:rsidRDefault="00000000">
      <w:pPr>
        <w:bidi/>
        <w:spacing w:after="150" w:line="300" w:lineRule="auto"/>
        <w:ind w:right="300" w:hanging="300"/>
        <w:jc w:val="right"/>
      </w:pPr>
      <w:r>
        <w:rPr>
          <w:rFonts w:ascii="Arial" w:eastAsia="Arial" w:hAnsi="Arial"/>
          <w:color w:val="333333"/>
          <w:sz w:val="20"/>
          <w:szCs w:val="20"/>
          <w:rtl/>
        </w:rPr>
        <w:t>تأهيل التركيب (</w:t>
      </w:r>
      <w:r>
        <w:rPr>
          <w:rFonts w:ascii="Arial" w:eastAsia="Arial" w:hAnsi="Arial"/>
          <w:color w:val="333333"/>
          <w:sz w:val="20"/>
          <w:szCs w:val="20"/>
        </w:rPr>
        <w:t>IQ</w:t>
      </w:r>
      <w:r>
        <w:rPr>
          <w:rFonts w:ascii="Arial" w:eastAsia="Arial" w:hAnsi="Arial"/>
          <w:color w:val="333333"/>
          <w:sz w:val="20"/>
          <w:szCs w:val="20"/>
          <w:rtl/>
        </w:rPr>
        <w:t>): يُجرى على المعدّات والمرافق والمنافع والأنظمة، ويشمل كحدّ أدنى: التحقّق من صحّة تركيب المكوّنات والأجهزة والأنابيب مقابل الرسوم والمواصفات؛ وجمع تعليمات التشغيل والصيانة والمعايرة؛ والتحقّق من مواد الإنشاء.</w:t>
      </w:r>
      <w:r>
        <w:rPr>
          <w:rFonts w:ascii="Arial" w:eastAsia="Arial" w:hAnsi="Arial"/>
          <w:b/>
          <w:bCs/>
          <w:color w:val="15512F"/>
          <w:sz w:val="20"/>
          <w:szCs w:val="20"/>
          <w:rtl/>
        </w:rPr>
        <w:t xml:space="preserve">  ⁦</w:t>
      </w:r>
      <w:r>
        <w:rPr>
          <w:rFonts w:ascii="Arial" w:eastAsia="Arial" w:hAnsi="Arial"/>
          <w:b/>
          <w:bCs/>
          <w:color w:val="15512F"/>
          <w:sz w:val="20"/>
          <w:szCs w:val="20"/>
        </w:rPr>
        <w:t>4.4</w:t>
      </w:r>
      <w:r>
        <w:rPr>
          <w:rFonts w:ascii="Arial" w:eastAsia="Arial" w:hAnsi="Arial"/>
          <w:b/>
          <w:bCs/>
          <w:color w:val="15512F"/>
          <w:sz w:val="20"/>
          <w:szCs w:val="20"/>
          <w:rtl/>
        </w:rPr>
        <w:t>⁩</w:t>
      </w:r>
    </w:p>
    <w:p w14:paraId="7351C0B4" w14:textId="77777777" w:rsidR="00CD5946" w:rsidRDefault="00000000">
      <w:pPr>
        <w:spacing w:after="40" w:line="266" w:lineRule="auto"/>
        <w:ind w:left="300" w:hanging="300"/>
      </w:pPr>
      <w:r>
        <w:rPr>
          <w:rFonts w:ascii="Arial" w:eastAsia="Arial" w:hAnsi="Arial"/>
          <w:b/>
          <w:bCs/>
          <w:color w:val="15512F"/>
        </w:rPr>
        <w:t xml:space="preserve">4.5  </w:t>
      </w:r>
      <w:r>
        <w:rPr>
          <w:rFonts w:ascii="Arial" w:eastAsia="Arial" w:hAnsi="Arial"/>
          <w:color w:val="1A1A1A"/>
        </w:rPr>
        <w:t xml:space="preserve">Operational Qualification (OQ): OQ normally follows IQ but, depending on the complexity of the equipment, may be performed as a combined Installation/Operational Qualification (IOQ). OQ </w:t>
        <w:lastRenderedPageBreak/>
        <w:t>shall include, as a minimum: tests developed from process knowledge to confirm operation across the anticipated operating ranges; verification of the functioning of the system at the limits (worst case); and confirmation of operating procedures, calibration, cleaning and preventive maintenance requirements. Completion of OQ shall allow the finalisation of those procedures.</w:t>
      </w:r>
    </w:p>
    <w:p w14:paraId="225ABFBD" w14:textId="77777777" w:rsidR="00CD5946" w:rsidRDefault="00000000">
      <w:pPr>
        <w:bidi/>
        <w:spacing w:after="150" w:line="300" w:lineRule="auto"/>
        <w:ind w:right="300" w:hanging="300"/>
        <w:jc w:val="right"/>
      </w:pPr>
      <w:r>
        <w:rPr>
          <w:rFonts w:ascii="Arial" w:eastAsia="Arial" w:hAnsi="Arial"/>
          <w:color w:val="333333"/>
          <w:sz w:val="20"/>
          <w:szCs w:val="20"/>
          <w:rtl/>
        </w:rPr>
        <w:t>التأهيل التشغيلي (</w:t>
      </w:r>
      <w:r>
        <w:rPr>
          <w:rFonts w:ascii="Arial" w:eastAsia="Arial" w:hAnsi="Arial"/>
          <w:color w:val="333333"/>
          <w:sz w:val="20"/>
          <w:szCs w:val="20"/>
        </w:rPr>
        <w:t>OQ</w:t>
      </w:r>
      <w:r>
        <w:rPr>
          <w:rFonts w:ascii="Arial" w:eastAsia="Arial" w:hAnsi="Arial"/>
          <w:color w:val="333333"/>
          <w:sz w:val="20"/>
          <w:szCs w:val="20"/>
          <w:rtl/>
        </w:rPr>
        <w:t xml:space="preserve">): يتبع عادةً </w:t>
      </w:r>
      <w:r>
        <w:rPr>
          <w:rFonts w:ascii="Arial" w:eastAsia="Arial" w:hAnsi="Arial"/>
          <w:color w:val="333333"/>
          <w:sz w:val="20"/>
          <w:szCs w:val="20"/>
        </w:rPr>
        <w:t>IQ</w:t>
      </w:r>
      <w:r>
        <w:rPr>
          <w:rFonts w:ascii="Arial" w:eastAsia="Arial" w:hAnsi="Arial"/>
          <w:color w:val="333333"/>
          <w:sz w:val="20"/>
          <w:szCs w:val="20"/>
          <w:rtl/>
        </w:rPr>
        <w:t>، وقد يُدمَج معه (</w:t>
      </w:r>
      <w:r>
        <w:rPr>
          <w:rFonts w:ascii="Arial" w:eastAsia="Arial" w:hAnsi="Arial"/>
          <w:color w:val="333333"/>
          <w:sz w:val="20"/>
          <w:szCs w:val="20"/>
        </w:rPr>
        <w:t>IOQ</w:t>
      </w:r>
      <w:r>
        <w:rPr>
          <w:rFonts w:ascii="Arial" w:eastAsia="Arial" w:hAnsi="Arial"/>
          <w:color w:val="333333"/>
          <w:sz w:val="20"/>
          <w:szCs w:val="20"/>
          <w:rtl/>
        </w:rPr>
        <w:t xml:space="preserve">) حسب التعقيد. ويشمل كحدّ أدنى: اختبارات مستمدّة من فهم العملية لتأكيد التشغيل عبر النطاقات المتوقّعة؛ والتحقّق عند الحدود (أسوأ الحالات)؛ وتأكيد إجراءات التشغيل والمعايرة والتنظيف والصيانة الوقائية. ويُتيح إكمال </w:t>
      </w:r>
      <w:r>
        <w:rPr>
          <w:rFonts w:ascii="Arial" w:eastAsia="Arial" w:hAnsi="Arial"/>
          <w:color w:val="333333"/>
          <w:sz w:val="20"/>
          <w:szCs w:val="20"/>
        </w:rPr>
        <w:t>OQ</w:t>
      </w:r>
      <w:r>
        <w:rPr>
          <w:rFonts w:ascii="Arial" w:eastAsia="Arial" w:hAnsi="Arial"/>
          <w:color w:val="333333"/>
          <w:sz w:val="20"/>
          <w:szCs w:val="20"/>
          <w:rtl/>
        </w:rPr>
        <w:t xml:space="preserve"> إنهاء تلك الإجراءات.</w:t>
      </w:r>
      <w:r>
        <w:rPr>
          <w:rFonts w:ascii="Arial" w:eastAsia="Arial" w:hAnsi="Arial"/>
          <w:b/>
          <w:bCs/>
          <w:color w:val="15512F"/>
          <w:sz w:val="20"/>
          <w:szCs w:val="20"/>
          <w:rtl/>
        </w:rPr>
        <w:t xml:space="preserve">  ⁦</w:t>
      </w:r>
      <w:r>
        <w:rPr>
          <w:rFonts w:ascii="Arial" w:eastAsia="Arial" w:hAnsi="Arial"/>
          <w:b/>
          <w:bCs/>
          <w:color w:val="15512F"/>
          <w:sz w:val="20"/>
          <w:szCs w:val="20"/>
        </w:rPr>
        <w:t>4.5</w:t>
      </w:r>
      <w:r>
        <w:rPr>
          <w:rFonts w:ascii="Arial" w:eastAsia="Arial" w:hAnsi="Arial"/>
          <w:b/>
          <w:bCs/>
          <w:color w:val="15512F"/>
          <w:sz w:val="20"/>
          <w:szCs w:val="20"/>
          <w:rtl/>
        </w:rPr>
        <w:t>⁩</w:t>
      </w:r>
    </w:p>
    <w:p w14:paraId="0E7A835D" w14:textId="77777777" w:rsidR="00CD5946" w:rsidRDefault="00000000">
      <w:pPr>
        <w:spacing w:after="40" w:line="266" w:lineRule="auto"/>
        <w:ind w:left="300" w:hanging="300"/>
      </w:pPr>
      <w:r>
        <w:rPr>
          <w:rFonts w:ascii="Arial" w:eastAsia="Arial" w:hAnsi="Arial"/>
          <w:b/>
          <w:bCs/>
          <w:color w:val="15512F"/>
        </w:rPr>
        <w:t xml:space="preserve">4.6  </w:t>
      </w:r>
      <w:r>
        <w:rPr>
          <w:rFonts w:ascii="Arial" w:eastAsia="Arial" w:hAnsi="Arial"/>
          <w:color w:val="1A1A1A"/>
        </w:rPr>
        <w:t>Performance Qualification (PQ): PQ normally follows successful completion of IQ and OQ; however, it may be appropriate to perform it in conjunction with OQ or process validation. PQ shall include, as a minimum: tests using production materials, qualified substitutes or simulated product demonstrated to have equivalent behaviour under normal operating conditions, with worst-case batch sizes; and tests covering the operating range of the intended process unless documented evidence from development establishes the ranges.</w:t>
      </w:r>
    </w:p>
    <w:p w14:paraId="0D0E4820" w14:textId="77777777" w:rsidR="00CD5946" w:rsidRDefault="00000000">
      <w:pPr>
        <w:bidi/>
        <w:spacing w:after="150" w:line="300" w:lineRule="auto"/>
        <w:ind w:right="300" w:hanging="300"/>
        <w:jc w:val="right"/>
      </w:pPr>
      <w:r>
        <w:rPr>
          <w:rFonts w:ascii="Arial" w:eastAsia="Arial" w:hAnsi="Arial"/>
          <w:color w:val="333333"/>
          <w:sz w:val="20"/>
          <w:szCs w:val="20"/>
          <w:rtl/>
        </w:rPr>
        <w:t>تأهيل الأداء (</w:t>
      </w:r>
      <w:r>
        <w:rPr>
          <w:rFonts w:ascii="Arial" w:eastAsia="Arial" w:hAnsi="Arial"/>
          <w:color w:val="333333"/>
          <w:sz w:val="20"/>
          <w:szCs w:val="20"/>
        </w:rPr>
        <w:t>PQ</w:t>
      </w:r>
      <w:r>
        <w:rPr>
          <w:rFonts w:ascii="Arial" w:eastAsia="Arial" w:hAnsi="Arial"/>
          <w:color w:val="333333"/>
          <w:sz w:val="20"/>
          <w:szCs w:val="20"/>
          <w:rtl/>
        </w:rPr>
        <w:t xml:space="preserve">): يتبع عادةً إكمال </w:t>
      </w:r>
      <w:r>
        <w:rPr>
          <w:rFonts w:ascii="Arial" w:eastAsia="Arial" w:hAnsi="Arial"/>
          <w:color w:val="333333"/>
          <w:sz w:val="20"/>
          <w:szCs w:val="20"/>
        </w:rPr>
        <w:t>IQ</w:t>
      </w:r>
      <w:r>
        <w:rPr>
          <w:rFonts w:ascii="Arial" w:eastAsia="Arial" w:hAnsi="Arial"/>
          <w:color w:val="333333"/>
          <w:sz w:val="20"/>
          <w:szCs w:val="20"/>
          <w:rtl/>
        </w:rPr>
        <w:t xml:space="preserve"> و</w:t>
      </w:r>
      <w:r>
        <w:rPr>
          <w:rFonts w:ascii="Arial" w:eastAsia="Arial" w:hAnsi="Arial"/>
          <w:color w:val="333333"/>
          <w:sz w:val="20"/>
          <w:szCs w:val="20"/>
        </w:rPr>
        <w:t>OQ</w:t>
      </w:r>
      <w:r>
        <w:rPr>
          <w:rFonts w:ascii="Arial" w:eastAsia="Arial" w:hAnsi="Arial"/>
          <w:color w:val="333333"/>
          <w:sz w:val="20"/>
          <w:szCs w:val="20"/>
          <w:rtl/>
        </w:rPr>
        <w:t xml:space="preserve">، وقد يُجرى مع </w:t>
      </w:r>
      <w:r>
        <w:rPr>
          <w:rFonts w:ascii="Arial" w:eastAsia="Arial" w:hAnsi="Arial"/>
          <w:color w:val="333333"/>
          <w:sz w:val="20"/>
          <w:szCs w:val="20"/>
        </w:rPr>
        <w:t>OQ</w:t>
      </w:r>
      <w:r>
        <w:rPr>
          <w:rFonts w:ascii="Arial" w:eastAsia="Arial" w:hAnsi="Arial"/>
          <w:color w:val="333333"/>
          <w:sz w:val="20"/>
          <w:szCs w:val="20"/>
          <w:rtl/>
        </w:rPr>
        <w:t xml:space="preserve"> أو مع تحقّق العملية. ويشمل كحدّ أدنى: اختبارات بمواد إنتاجية أو بدائل مؤهّلة أو منتج محاكٍ مكافئ السلوك تحت الظروف العادية وبأحجام دفعات أسوأ حالة؛ واختبارات تغطّي نطاق التشغيل ما لم تُثبِت بيانات التطوير النطاقات.</w:t>
      </w:r>
      <w:r>
        <w:rPr>
          <w:rFonts w:ascii="Arial" w:eastAsia="Arial" w:hAnsi="Arial"/>
          <w:b/>
          <w:bCs/>
          <w:color w:val="15512F"/>
          <w:sz w:val="20"/>
          <w:szCs w:val="20"/>
          <w:rtl/>
        </w:rPr>
        <w:t xml:space="preserve">  ⁦</w:t>
      </w:r>
      <w:r>
        <w:rPr>
          <w:rFonts w:ascii="Arial" w:eastAsia="Arial" w:hAnsi="Arial"/>
          <w:b/>
          <w:bCs/>
          <w:color w:val="15512F"/>
          <w:sz w:val="20"/>
          <w:szCs w:val="20"/>
        </w:rPr>
        <w:t>4.6</w:t>
      </w:r>
      <w:r>
        <w:rPr>
          <w:rFonts w:ascii="Arial" w:eastAsia="Arial" w:hAnsi="Arial"/>
          <w:b/>
          <w:bCs/>
          <w:color w:val="15512F"/>
          <w:sz w:val="20"/>
          <w:szCs w:val="20"/>
          <w:rtl/>
        </w:rPr>
        <w:t>⁩</w:t>
      </w:r>
    </w:p>
    <w:p w14:paraId="77F1B615" w14:textId="77777777" w:rsidR="00CD5946" w:rsidRDefault="00000000">
      <w:pPr>
        <w:pStyle w:val="Heading2"/>
        <w:spacing w:before="220"/>
      </w:pPr>
      <w:bookmarkStart w:id="206" w:name="__RefHeading___Toc9569_1729075678"/>
      <w:bookmarkEnd w:id="206"/>
      <w:r>
        <w:t>5.  Re-qualification</w:t>
      </w:r>
      <w:r>
        <w:rPr>
          <w:b w:val="0"/>
          <w:bCs w:val="0"/>
          <w:color w:val="1A1A1A"/>
          <w:sz w:val="21"/>
          <w:szCs w:val="21"/>
        </w:rPr>
        <w:t xml:space="preserve">   </w:t>
      </w:r>
      <w:r>
        <w:rPr>
          <w:color w:val="C8A24B"/>
          <w:sz w:val="20"/>
          <w:szCs w:val="20"/>
          <w:rtl/>
        </w:rPr>
        <w:t>إعادة التأهيل</w:t>
      </w:r>
    </w:p>
    <w:p w14:paraId="0EE34841" w14:textId="77777777" w:rsidR="00CD5946" w:rsidRDefault="00000000">
      <w:pPr>
        <w:spacing w:after="40" w:line="266" w:lineRule="auto"/>
        <w:ind w:left="300" w:hanging="300"/>
      </w:pPr>
      <w:r>
        <w:rPr>
          <w:rFonts w:ascii="Arial" w:eastAsia="Arial" w:hAnsi="Arial"/>
          <w:b/>
          <w:bCs/>
          <w:color w:val="15512F"/>
        </w:rPr>
        <w:t xml:space="preserve">5.1  </w:t>
      </w:r>
      <w:r>
        <w:rPr>
          <w:rFonts w:ascii="Arial" w:eastAsia="Arial" w:hAnsi="Arial"/>
          <w:color w:val="1A1A1A"/>
        </w:rPr>
        <w:t>Equipment, facilities, utilities and systems shall be evaluated at an appropriate frequency to confirm that they remain in a state of control. Where re-qualification is necessary and performed at a specific time period, the period shall be justified and the criteria for evaluation defined. The possibility of small changes over time shall be assessed, and the need for any re-qualification supported by review of monitoring and calibration data, change history and maintenance records.</w:t>
      </w:r>
    </w:p>
    <w:p w14:paraId="4057AC92" w14:textId="77777777" w:rsidR="00CD5946" w:rsidRDefault="00000000">
      <w:pPr>
        <w:bidi/>
        <w:spacing w:after="150" w:line="300" w:lineRule="auto"/>
        <w:ind w:right="300" w:hanging="300"/>
        <w:jc w:val="right"/>
      </w:pPr>
      <w:r>
        <w:rPr>
          <w:rFonts w:ascii="Arial" w:eastAsia="Arial" w:hAnsi="Arial"/>
          <w:color w:val="333333"/>
          <w:sz w:val="20"/>
          <w:szCs w:val="20"/>
          <w:rtl/>
        </w:rPr>
        <w:t>تُقيّم المعدّات والمرافق والمنافع والأنظمة بتواتر مناسب لتأكيد بقائها في حالة ضبط. وحيث تلزم إعادة التأهيل عند فترة محدّدة تُبرّر الفترة وتُحدّد معايير التقييم. وتُقيّم إمكانية التغيّرات الصغيرة بمرور الوقت، وتُدعم الحاجة بمراجعة بيانات المراقبة والمعايرة وسجل التغيير والصيانة.</w:t>
      </w:r>
      <w:r>
        <w:rPr>
          <w:rFonts w:ascii="Arial" w:eastAsia="Arial" w:hAnsi="Arial"/>
          <w:b/>
          <w:bCs/>
          <w:color w:val="15512F"/>
          <w:sz w:val="20"/>
          <w:szCs w:val="20"/>
          <w:rtl/>
        </w:rPr>
        <w:t xml:space="preserve">  ⁦</w:t>
      </w:r>
      <w:r>
        <w:rPr>
          <w:rFonts w:ascii="Arial" w:eastAsia="Arial" w:hAnsi="Arial"/>
          <w:b/>
          <w:bCs/>
          <w:color w:val="15512F"/>
          <w:sz w:val="20"/>
          <w:szCs w:val="20"/>
        </w:rPr>
        <w:t>5.1</w:t>
      </w:r>
      <w:r>
        <w:rPr>
          <w:rFonts w:ascii="Arial" w:eastAsia="Arial" w:hAnsi="Arial"/>
          <w:b/>
          <w:bCs/>
          <w:color w:val="15512F"/>
          <w:sz w:val="20"/>
          <w:szCs w:val="20"/>
          <w:rtl/>
        </w:rPr>
        <w:t>⁩</w:t>
      </w:r>
    </w:p>
    <w:p w14:paraId="7E843766" w14:textId="77777777" w:rsidR="00CD5946" w:rsidRDefault="00000000">
      <w:pPr>
        <w:pStyle w:val="Heading2"/>
        <w:spacing w:before="220"/>
      </w:pPr>
      <w:bookmarkStart w:id="207" w:name="__RefHeading___Toc9571_1729075678"/>
      <w:bookmarkEnd w:id="207"/>
      <w:r>
        <w:t>6.  Process validation</w:t>
      </w:r>
      <w:r>
        <w:rPr>
          <w:b w:val="0"/>
          <w:bCs w:val="0"/>
          <w:color w:val="1A1A1A"/>
          <w:sz w:val="21"/>
          <w:szCs w:val="21"/>
        </w:rPr>
        <w:t xml:space="preserve">   </w:t>
      </w:r>
      <w:r>
        <w:rPr>
          <w:color w:val="C8A24B"/>
          <w:sz w:val="20"/>
          <w:szCs w:val="20"/>
          <w:rtl/>
        </w:rPr>
        <w:t>تحقّق العملية</w:t>
      </w:r>
    </w:p>
    <w:p w14:paraId="314E4682" w14:textId="77777777" w:rsidR="00CD5946" w:rsidRDefault="00000000">
      <w:pPr>
        <w:spacing w:after="40" w:line="266" w:lineRule="auto"/>
        <w:ind w:left="300" w:hanging="300"/>
      </w:pPr>
      <w:r>
        <w:rPr>
          <w:rFonts w:ascii="Arial" w:eastAsia="Arial" w:hAnsi="Arial"/>
          <w:b/>
          <w:bCs/>
          <w:color w:val="15512F"/>
        </w:rPr>
        <w:t xml:space="preserve">6.1  </w:t>
      </w:r>
      <w:r>
        <w:rPr>
          <w:rFonts w:ascii="Arial" w:eastAsia="Arial" w:hAnsi="Arial"/>
          <w:color w:val="1A1A1A"/>
        </w:rPr>
        <w:t>Process validation shall establish documented evidence that the process, operated within established parameters, can perform effectively and reproducibly to produce a medicinal product meeting its predetermined specifications and quality attributes. Process validation shall not be regarded as a one-off event; a lifecycle approach shall link product and process development, validation of the commercial manufacturing process, and maintenance of the process in a state of control during routine production.</w:t>
      </w:r>
    </w:p>
    <w:p w14:paraId="22F3A5D8" w14:textId="77777777" w:rsidR="00CD5946" w:rsidRDefault="00000000">
      <w:pPr>
        <w:bidi/>
        <w:spacing w:after="150" w:line="300" w:lineRule="auto"/>
        <w:ind w:right="300" w:hanging="300"/>
        <w:jc w:val="right"/>
      </w:pPr>
      <w:r>
        <w:rPr>
          <w:rFonts w:ascii="Arial" w:eastAsia="Arial" w:hAnsi="Arial"/>
          <w:color w:val="333333"/>
          <w:sz w:val="20"/>
          <w:szCs w:val="20"/>
          <w:rtl/>
        </w:rPr>
        <w:t>يُرسِي تحقّق العملية دليلاً موثّقاً على أنّ العملية المُشغّلة ضمن المتغيّرات المُحدّدة تؤدّي بفعّالية وتكرارية إلى منتج يستوفي مواصفاته وسمات جودته المُحدّدة مسبقاً. ولا يُعدّ حدثاً لمرّة واحدة؛ بل يربط نهج دورة الحياة تطوير المنتج والعملية وتحقّق العملية التجارية وإبقاءها في حالة ضبط أثناء الإنتاج.</w:t>
      </w:r>
      <w:r>
        <w:rPr>
          <w:rFonts w:ascii="Arial" w:eastAsia="Arial" w:hAnsi="Arial"/>
          <w:b/>
          <w:bCs/>
          <w:color w:val="15512F"/>
          <w:sz w:val="20"/>
          <w:szCs w:val="20"/>
          <w:rtl/>
        </w:rPr>
        <w:t xml:space="preserve">  ⁦</w:t>
      </w:r>
      <w:r>
        <w:rPr>
          <w:rFonts w:ascii="Arial" w:eastAsia="Arial" w:hAnsi="Arial"/>
          <w:b/>
          <w:bCs/>
          <w:color w:val="15512F"/>
          <w:sz w:val="20"/>
          <w:szCs w:val="20"/>
        </w:rPr>
        <w:t>6.1</w:t>
      </w:r>
      <w:r>
        <w:rPr>
          <w:rFonts w:ascii="Arial" w:eastAsia="Arial" w:hAnsi="Arial"/>
          <w:b/>
          <w:bCs/>
          <w:color w:val="15512F"/>
          <w:sz w:val="20"/>
          <w:szCs w:val="20"/>
          <w:rtl/>
        </w:rPr>
        <w:t>⁩</w:t>
      </w:r>
    </w:p>
    <w:p w14:paraId="782E2748" w14:textId="77777777" w:rsidR="00CD5946" w:rsidRDefault="00000000">
      <w:pPr>
        <w:spacing w:after="40" w:line="266" w:lineRule="auto"/>
        <w:ind w:left="300" w:hanging="300"/>
      </w:pPr>
      <w:r>
        <w:rPr>
          <w:rFonts w:ascii="Arial" w:eastAsia="Arial" w:hAnsi="Arial"/>
          <w:b/>
          <w:bCs/>
          <w:color w:val="15512F"/>
        </w:rPr>
        <w:t xml:space="preserve">6.2  </w:t>
      </w:r>
      <w:r>
        <w:rPr>
          <w:rFonts w:ascii="Arial" w:eastAsia="Arial" w:hAnsi="Arial"/>
          <w:color w:val="1A1A1A"/>
        </w:rPr>
        <w:t>Process validation may be performed using a traditional approach (a defined number of consecutive batches — normally a minimum of three — manufactured under routine conditions and meeting the protocol acceptance criteria), a continuous process verification approach (in-line, on-line or at-line monitoring and control of process performance and product quality, suitable for products developed under an enhanced/QbD approach), or a hybrid of the two. The number of batches and the extent of monitoring shall be justified by quality risk management and the level of process understanding.</w:t>
      </w:r>
    </w:p>
    <w:p w14:paraId="1DA5F0DE" w14:textId="77777777" w:rsidR="00CD5946" w:rsidRDefault="00000000">
      <w:pPr>
        <w:bidi/>
        <w:spacing w:after="150" w:line="300" w:lineRule="auto"/>
        <w:ind w:right="300" w:hanging="300"/>
        <w:jc w:val="right"/>
      </w:pPr>
      <w:r>
        <w:rPr>
          <w:rFonts w:ascii="Arial" w:eastAsia="Arial" w:hAnsi="Arial"/>
          <w:color w:val="333333"/>
          <w:sz w:val="20"/>
          <w:szCs w:val="20"/>
          <w:rtl/>
        </w:rPr>
        <w:lastRenderedPageBreak/>
        <w:t>يُجرى تحقّق العملية بالنهج التقليدي (عدد محدّد من الدفعات المتتالية — ثلاث على الأقل عادةً — تُصنّع بظروف روتينية وتستوفي معايير البروتوكول)، أو بنهج التحقّق المستمر للعملية (مراقبة وضبط داخل الخطّ أو عليه أو بجانبه، المناسب للمنتجات المُطوّرة بنهج الجودة بالتصميم)، أو بنهج هجين. ويُبرّر عدد الدفعات ومدى المراقبة بإدارة المخاطر ومستوى فهم العملية.</w:t>
      </w:r>
      <w:r>
        <w:rPr>
          <w:rFonts w:ascii="Arial" w:eastAsia="Arial" w:hAnsi="Arial"/>
          <w:b/>
          <w:bCs/>
          <w:color w:val="15512F"/>
          <w:sz w:val="20"/>
          <w:szCs w:val="20"/>
          <w:rtl/>
        </w:rPr>
        <w:t xml:space="preserve">  ⁦</w:t>
      </w:r>
      <w:r>
        <w:rPr>
          <w:rFonts w:ascii="Arial" w:eastAsia="Arial" w:hAnsi="Arial"/>
          <w:b/>
          <w:bCs/>
          <w:color w:val="15512F"/>
          <w:sz w:val="20"/>
          <w:szCs w:val="20"/>
        </w:rPr>
        <w:t>6.2</w:t>
      </w:r>
      <w:r>
        <w:rPr>
          <w:rFonts w:ascii="Arial" w:eastAsia="Arial" w:hAnsi="Arial"/>
          <w:b/>
          <w:bCs/>
          <w:color w:val="15512F"/>
          <w:sz w:val="20"/>
          <w:szCs w:val="20"/>
          <w:rtl/>
        </w:rPr>
        <w:t>⁩</w:t>
      </w:r>
    </w:p>
    <w:p w14:paraId="021623EF" w14:textId="77777777" w:rsidR="00CD5946" w:rsidRDefault="00000000">
      <w:pP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The figure of three consecutive batches is a commonly applied minimum, not a fixed regulatory requirement. The number of batches and the extent of sampling shall be justified by the level of process understanding and the outcome of quality risk management; under an enhanced (QbD) approach with continuous process verification, a different number may be justified.</w:t>
      </w:r>
    </w:p>
    <w:p w14:paraId="266D2C8A" w14:textId="77777777" w:rsidR="00CD5946" w:rsidRDefault="00000000">
      <w:pPr>
        <w:bidi/>
        <w:spacing w:after="140"/>
        <w:ind w:right="300"/>
        <w:jc w:val="right"/>
      </w:pPr>
      <w:r>
        <w:rPr>
          <w:rFonts w:ascii="Arial" w:eastAsia="Arial" w:hAnsi="Arial"/>
          <w:color w:val="5A5A5A"/>
          <w:sz w:val="18"/>
          <w:szCs w:val="18"/>
          <w:rtl/>
        </w:rPr>
        <w:t>رقم الدفعات الثلاث المتتالية حدّ أدنى شائع التطبيق وليس متطلباً تنظيميّاً ثابتاً. ويُبرّر عدد الدفعات ومدى أخذ العينات بمستوى فهم العملية ونتائج إدارة المخاطر؛ وفي النهج المُعزّز (</w:t>
      </w:r>
      <w:r>
        <w:rPr>
          <w:rFonts w:ascii="Arial" w:eastAsia="Arial" w:hAnsi="Arial"/>
          <w:color w:val="5A5A5A"/>
          <w:sz w:val="18"/>
          <w:szCs w:val="18"/>
        </w:rPr>
        <w:t>QbD</w:t>
      </w:r>
      <w:r>
        <w:rPr>
          <w:rFonts w:ascii="Arial" w:eastAsia="Arial" w:hAnsi="Arial"/>
          <w:color w:val="5A5A5A"/>
          <w:sz w:val="18"/>
          <w:szCs w:val="18"/>
          <w:rtl/>
        </w:rPr>
        <w:t>) مع التحقّق المستمر قد يُبرّر عدد مختلف.</w:t>
      </w:r>
      <w:r>
        <w:rPr>
          <w:rFonts w:ascii="Arial" w:eastAsia="Arial" w:hAnsi="Arial"/>
          <w:b/>
          <w:bCs/>
          <w:color w:val="5A5A5A"/>
          <w:sz w:val="18"/>
          <w:szCs w:val="18"/>
          <w:rtl/>
        </w:rPr>
        <w:t xml:space="preserve">  ملاحظة.</w:t>
      </w:r>
    </w:p>
    <w:p w14:paraId="45528420" w14:textId="77777777" w:rsidR="00CD5946" w:rsidRDefault="00000000">
      <w:pPr>
        <w:spacing w:after="40" w:line="266" w:lineRule="auto"/>
        <w:ind w:left="300" w:hanging="300"/>
      </w:pPr>
      <w:r>
        <w:rPr>
          <w:rFonts w:ascii="Arial" w:eastAsia="Arial" w:hAnsi="Arial"/>
          <w:b/>
          <w:bCs/>
          <w:color w:val="15512F"/>
        </w:rPr>
        <w:t xml:space="preserve">6.3  </w:t>
      </w:r>
      <w:r>
        <w:rPr>
          <w:rFonts w:ascii="Arial" w:eastAsia="Arial" w:hAnsi="Arial"/>
          <w:color w:val="1A1A1A"/>
        </w:rPr>
        <w:t>Concurrent validation, in which validation is conducted during routine production while the batches are released, may be used exceptionally where there is a strong benefit-to-patient ratio (for example products with a very short shelf-life or rarely produced products), provided it is justified, documented, pre-approved in the protocol and authorised by an Authorised/Qualified Person, with robust ongoing assessment of each batch.</w:t>
      </w:r>
    </w:p>
    <w:p w14:paraId="09A38FE0" w14:textId="77777777" w:rsidR="00CD5946" w:rsidRDefault="00000000">
      <w:pPr>
        <w:bidi/>
        <w:spacing w:after="150" w:line="300" w:lineRule="auto"/>
        <w:ind w:right="300" w:hanging="300"/>
        <w:jc w:val="right"/>
      </w:pPr>
      <w:r>
        <w:rPr>
          <w:rFonts w:ascii="Arial" w:eastAsia="Arial" w:hAnsi="Arial"/>
          <w:color w:val="333333"/>
          <w:sz w:val="20"/>
          <w:szCs w:val="20"/>
          <w:rtl/>
        </w:rPr>
        <w:t>التحقّق التزامني، الذي يُجرى أثناء الإنتاج الروتيني مع الإفراج عن الدفعات، يُستخدم استثنائيّاً عند وجود منفعة قوية للمريض (كالمنتجات قصيرة الصلاحية أو نادرة الإنتاج)، شريطة التبرير والتوثيق والاعتماد المسبق في البروتوكول وإذن الشخص المؤهّل، مع تقييم رصين لكل دفعة.</w:t>
      </w:r>
      <w:r>
        <w:rPr>
          <w:rFonts w:ascii="Arial" w:eastAsia="Arial" w:hAnsi="Arial"/>
          <w:b/>
          <w:bCs/>
          <w:color w:val="15512F"/>
          <w:sz w:val="20"/>
          <w:szCs w:val="20"/>
          <w:rtl/>
        </w:rPr>
        <w:t xml:space="preserve">  ⁦</w:t>
      </w:r>
      <w:r>
        <w:rPr>
          <w:rFonts w:ascii="Arial" w:eastAsia="Arial" w:hAnsi="Arial"/>
          <w:b/>
          <w:bCs/>
          <w:color w:val="15512F"/>
          <w:sz w:val="20"/>
          <w:szCs w:val="20"/>
        </w:rPr>
        <w:t>6.3</w:t>
      </w:r>
      <w:r>
        <w:rPr>
          <w:rFonts w:ascii="Arial" w:eastAsia="Arial" w:hAnsi="Arial"/>
          <w:b/>
          <w:bCs/>
          <w:color w:val="15512F"/>
          <w:sz w:val="20"/>
          <w:szCs w:val="20"/>
          <w:rtl/>
        </w:rPr>
        <w:t>⁩</w:t>
      </w:r>
    </w:p>
    <w:p w14:paraId="62D34C74" w14:textId="77777777" w:rsidR="00CD5946" w:rsidRDefault="00000000">
      <w:pPr>
        <w:spacing w:after="40" w:line="266" w:lineRule="auto"/>
        <w:ind w:left="300" w:hanging="300"/>
      </w:pPr>
      <w:r>
        <w:rPr>
          <w:rFonts w:ascii="Arial" w:eastAsia="Arial" w:hAnsi="Arial"/>
          <w:b/>
          <w:bCs/>
          <w:color w:val="15512F"/>
        </w:rPr>
        <w:t xml:space="preserve">6.4  </w:t>
      </w:r>
      <w:r>
        <w:rPr>
          <w:rFonts w:ascii="Arial" w:eastAsia="Arial" w:hAnsi="Arial"/>
          <w:color w:val="1A1A1A"/>
        </w:rPr>
        <w:t>Ongoing Process Verification (OPV): during the lifecycle, the manufacturer shall monitor product quality to ensure that a state of control is maintained throughout the commercial process. The extent and frequency of OPV shall be reviewed periodically and adjusted on the basis of accumulated data; it shall include trend analysis of critical quality attributes and critical process parameters, and shall feed the Product Quality Review and continual improvement.</w:t>
      </w:r>
    </w:p>
    <w:p w14:paraId="5F28F44D" w14:textId="77777777" w:rsidR="00CD5946" w:rsidRDefault="00000000">
      <w:pPr>
        <w:bidi/>
        <w:spacing w:after="150" w:line="300" w:lineRule="auto"/>
        <w:ind w:right="300" w:hanging="300"/>
        <w:jc w:val="right"/>
      </w:pPr>
      <w:r>
        <w:rPr>
          <w:rFonts w:ascii="Arial" w:eastAsia="Arial" w:hAnsi="Arial"/>
          <w:color w:val="333333"/>
          <w:sz w:val="20"/>
          <w:szCs w:val="20"/>
          <w:rtl/>
        </w:rPr>
        <w:t>التحقّق المستمر من العملية (</w:t>
      </w:r>
      <w:r>
        <w:rPr>
          <w:rFonts w:ascii="Arial" w:eastAsia="Arial" w:hAnsi="Arial"/>
          <w:color w:val="333333"/>
          <w:sz w:val="20"/>
          <w:szCs w:val="20"/>
        </w:rPr>
        <w:t>OPV</w:t>
      </w:r>
      <w:r>
        <w:rPr>
          <w:rFonts w:ascii="Arial" w:eastAsia="Arial" w:hAnsi="Arial"/>
          <w:color w:val="333333"/>
          <w:sz w:val="20"/>
          <w:szCs w:val="20"/>
          <w:rtl/>
        </w:rPr>
        <w:t xml:space="preserve">): خلال دورة الحياة يُراقِب المصنّع جودة المنتج لضمان إبقاء حالة الضبط طوال العملية التجارية. ويُراجَع مدى </w:t>
      </w:r>
      <w:r>
        <w:rPr>
          <w:rFonts w:ascii="Arial" w:eastAsia="Arial" w:hAnsi="Arial"/>
          <w:color w:val="333333"/>
          <w:sz w:val="20"/>
          <w:szCs w:val="20"/>
        </w:rPr>
        <w:t>OPV</w:t>
      </w:r>
      <w:r>
        <w:rPr>
          <w:rFonts w:ascii="Arial" w:eastAsia="Arial" w:hAnsi="Arial"/>
          <w:color w:val="333333"/>
          <w:sz w:val="20"/>
          <w:szCs w:val="20"/>
          <w:rtl/>
        </w:rPr>
        <w:t xml:space="preserve"> وتواتره دوريّاً ويُعدّل بناءً على البيانات؛ ويشمل تحليل اتجاهات السمات والمتغيّرات الحرجة، ويُغذّي المراجعة الدورية والتحسين المستمر.</w:t>
      </w:r>
      <w:r>
        <w:rPr>
          <w:rFonts w:ascii="Arial" w:eastAsia="Arial" w:hAnsi="Arial"/>
          <w:b/>
          <w:bCs/>
          <w:color w:val="15512F"/>
          <w:sz w:val="20"/>
          <w:szCs w:val="20"/>
          <w:rtl/>
        </w:rPr>
        <w:t xml:space="preserve">  ⁦</w:t>
      </w:r>
      <w:r>
        <w:rPr>
          <w:rFonts w:ascii="Arial" w:eastAsia="Arial" w:hAnsi="Arial"/>
          <w:b/>
          <w:bCs/>
          <w:color w:val="15512F"/>
          <w:sz w:val="20"/>
          <w:szCs w:val="20"/>
        </w:rPr>
        <w:t>6.4</w:t>
      </w:r>
      <w:r>
        <w:rPr>
          <w:rFonts w:ascii="Arial" w:eastAsia="Arial" w:hAnsi="Arial"/>
          <w:b/>
          <w:bCs/>
          <w:color w:val="15512F"/>
          <w:sz w:val="20"/>
          <w:szCs w:val="20"/>
          <w:rtl/>
        </w:rPr>
        <w:t>⁩</w:t>
      </w:r>
    </w:p>
    <w:p w14:paraId="413118F8" w14:textId="77777777" w:rsidR="00CD5946" w:rsidRDefault="00000000">
      <w:pPr>
        <w:pStyle w:val="Heading2"/>
        <w:spacing w:before="220"/>
      </w:pPr>
      <w:bookmarkStart w:id="208" w:name="__RefHeading___Toc9573_1729075678"/>
      <w:bookmarkEnd w:id="208"/>
      <w:r>
        <w:t>7.  Verification of transportation</w:t>
      </w:r>
      <w:r>
        <w:rPr>
          <w:b w:val="0"/>
          <w:bCs w:val="0"/>
          <w:color w:val="1A1A1A"/>
          <w:sz w:val="21"/>
          <w:szCs w:val="21"/>
        </w:rPr>
        <w:t xml:space="preserve">   </w:t>
      </w:r>
      <w:r>
        <w:rPr>
          <w:color w:val="C8A24B"/>
          <w:sz w:val="20"/>
          <w:szCs w:val="20"/>
          <w:rtl/>
        </w:rPr>
        <w:t>التحقّق من النقل</w:t>
      </w:r>
    </w:p>
    <w:p w14:paraId="1397CA9F" w14:textId="77777777" w:rsidR="00CD5946" w:rsidRDefault="00000000">
      <w:pPr>
        <w:spacing w:after="40" w:line="266" w:lineRule="auto"/>
        <w:ind w:left="300" w:hanging="300"/>
      </w:pPr>
      <w:r>
        <w:rPr>
          <w:rFonts w:ascii="Arial" w:eastAsia="Arial" w:hAnsi="Arial"/>
          <w:b/>
          <w:bCs/>
          <w:color w:val="15512F"/>
        </w:rPr>
        <w:t xml:space="preserve">7.1  </w:t>
      </w:r>
      <w:r>
        <w:rPr>
          <w:rFonts w:ascii="Arial" w:eastAsia="Arial" w:hAnsi="Arial"/>
          <w:color w:val="1A1A1A"/>
        </w:rPr>
        <w:t>Finished medicinal products, investigational products, bulk and samples shall be transported in a manner that maintains the defined storage conditions. While transportation is dynamic and difficult to validate in the conventional sense, the route and the conditions shall be evaluated and the controls verified, taking account of seasonal and other variations, temperature excursions, the effect of delays and the suitability of packaging and shipping containers.</w:t>
      </w:r>
    </w:p>
    <w:p w14:paraId="4144F826" w14:textId="77777777" w:rsidR="00CD5946" w:rsidRDefault="00000000">
      <w:pPr>
        <w:bidi/>
        <w:spacing w:after="150" w:line="300" w:lineRule="auto"/>
        <w:ind w:right="300" w:hanging="300"/>
        <w:jc w:val="right"/>
      </w:pPr>
      <w:r>
        <w:rPr>
          <w:rFonts w:ascii="Arial" w:eastAsia="Arial" w:hAnsi="Arial"/>
          <w:color w:val="333333"/>
          <w:sz w:val="20"/>
          <w:szCs w:val="20"/>
          <w:rtl/>
        </w:rPr>
        <w:t>تُنقَل المنتجات التامّة ومنتجات الأبحاث والسائبة والعينات بما يحفظ ظروف التخزين المحدّدة. ومع أنّ النقل دينامي يصعب التحقّق منه تقليديّاً، تُقيّم المسارات والظروف وتُتحقّق الضوابط، مع مراعاة التباينات الموسمية والتجاوزات الحرارية وأثر التأخير وملاءمة التعبئة وحاويات الشحن.</w:t>
      </w:r>
      <w:r>
        <w:rPr>
          <w:rFonts w:ascii="Arial" w:eastAsia="Arial" w:hAnsi="Arial"/>
          <w:b/>
          <w:bCs/>
          <w:color w:val="15512F"/>
          <w:sz w:val="20"/>
          <w:szCs w:val="20"/>
          <w:rtl/>
        </w:rPr>
        <w:t xml:space="preserve">  ⁦</w:t>
      </w:r>
      <w:r>
        <w:rPr>
          <w:rFonts w:ascii="Arial" w:eastAsia="Arial" w:hAnsi="Arial"/>
          <w:b/>
          <w:bCs/>
          <w:color w:val="15512F"/>
          <w:sz w:val="20"/>
          <w:szCs w:val="20"/>
        </w:rPr>
        <w:t>7.1</w:t>
      </w:r>
      <w:r>
        <w:rPr>
          <w:rFonts w:ascii="Arial" w:eastAsia="Arial" w:hAnsi="Arial"/>
          <w:b/>
          <w:bCs/>
          <w:color w:val="15512F"/>
          <w:sz w:val="20"/>
          <w:szCs w:val="20"/>
          <w:rtl/>
        </w:rPr>
        <w:t>⁩</w:t>
      </w:r>
    </w:p>
    <w:p w14:paraId="0DF0A119" w14:textId="77777777" w:rsidR="00CD5946" w:rsidRDefault="00000000">
      <w:pPr>
        <w:pStyle w:val="Heading2"/>
        <w:spacing w:before="220"/>
      </w:pPr>
      <w:bookmarkStart w:id="209" w:name="__RefHeading___Toc9575_1729075678"/>
      <w:bookmarkEnd w:id="209"/>
      <w:r>
        <w:t>8.  Validation of packaging</w:t>
      </w:r>
      <w:r>
        <w:rPr>
          <w:b w:val="0"/>
          <w:bCs w:val="0"/>
          <w:color w:val="1A1A1A"/>
          <w:sz w:val="21"/>
          <w:szCs w:val="21"/>
        </w:rPr>
        <w:t xml:space="preserve">   </w:t>
      </w:r>
      <w:r>
        <w:rPr>
          <w:color w:val="C8A24B"/>
          <w:sz w:val="20"/>
          <w:szCs w:val="20"/>
          <w:rtl/>
        </w:rPr>
        <w:t>تحقّق التعبئة والتغليف</w:t>
      </w:r>
    </w:p>
    <w:p w14:paraId="63610702" w14:textId="77777777" w:rsidR="00CD5946" w:rsidRDefault="00000000">
      <w:pPr>
        <w:spacing w:after="40" w:line="266" w:lineRule="auto"/>
        <w:ind w:left="300" w:hanging="300"/>
      </w:pPr>
      <w:r>
        <w:rPr>
          <w:rFonts w:ascii="Arial" w:eastAsia="Arial" w:hAnsi="Arial"/>
          <w:b/>
          <w:bCs/>
          <w:color w:val="15512F"/>
        </w:rPr>
        <w:t xml:space="preserve">8.1  </w:t>
      </w:r>
      <w:r>
        <w:rPr>
          <w:rFonts w:ascii="Arial" w:eastAsia="Arial" w:hAnsi="Arial"/>
          <w:color w:val="1A1A1A"/>
        </w:rPr>
        <w:t>Equipment used for primary and secondary packaging of finished and bulk products shall be qualified. The qualification of the equipment used for primary packaging shall cover the operating ranges expected for the critical parameters such as temperature, machine speed and sealing conditions, or any other factors. Variation in equipment processing parameters, especially during initial set-up, shall be investigated, and the integrity of the package and the correctness of coding/printing assured.</w:t>
      </w:r>
    </w:p>
    <w:p w14:paraId="1C56CA25" w14:textId="77777777" w:rsidR="00CD5946" w:rsidRDefault="00000000">
      <w:pPr>
        <w:bidi/>
        <w:spacing w:after="150" w:line="300" w:lineRule="auto"/>
        <w:ind w:right="300" w:hanging="300"/>
        <w:jc w:val="right"/>
      </w:pPr>
      <w:r>
        <w:rPr>
          <w:rFonts w:ascii="Arial" w:eastAsia="Arial" w:hAnsi="Arial"/>
          <w:color w:val="333333"/>
          <w:sz w:val="20"/>
          <w:szCs w:val="20"/>
          <w:rtl/>
        </w:rPr>
        <w:t>تُؤهّل معدّات التعبئة الأولية والثانوية للمنتجات التامّة والسائبة. ويغطّي تأهيل معدّات التعبئة الأولية نطاقات التشغيل المتوقّعة للمتغيّرات الحرجة كالحرارة وسرعة الآلة وظروف الإغلاق. وتُحقّق التباينات ولا سيّما عند الإعداد الأولي، وتُضمن سلامة العبوة وصحّة الترميز والطباعة.</w:t>
      </w:r>
      <w:r>
        <w:rPr>
          <w:rFonts w:ascii="Arial" w:eastAsia="Arial" w:hAnsi="Arial"/>
          <w:b/>
          <w:bCs/>
          <w:color w:val="15512F"/>
          <w:sz w:val="20"/>
          <w:szCs w:val="20"/>
          <w:rtl/>
        </w:rPr>
        <w:t xml:space="preserve">  ⁦</w:t>
      </w:r>
      <w:r>
        <w:rPr>
          <w:rFonts w:ascii="Arial" w:eastAsia="Arial" w:hAnsi="Arial"/>
          <w:b/>
          <w:bCs/>
          <w:color w:val="15512F"/>
          <w:sz w:val="20"/>
          <w:szCs w:val="20"/>
        </w:rPr>
        <w:t>8.1</w:t>
      </w:r>
      <w:r>
        <w:rPr>
          <w:rFonts w:ascii="Arial" w:eastAsia="Arial" w:hAnsi="Arial"/>
          <w:b/>
          <w:bCs/>
          <w:color w:val="15512F"/>
          <w:sz w:val="20"/>
          <w:szCs w:val="20"/>
          <w:rtl/>
        </w:rPr>
        <w:t>⁩</w:t>
      </w:r>
    </w:p>
    <w:p w14:paraId="4895AEEE" w14:textId="77777777" w:rsidR="00CD5946" w:rsidRDefault="00000000">
      <w:pPr>
        <w:pStyle w:val="Heading2"/>
        <w:spacing w:before="220"/>
      </w:pPr>
      <w:bookmarkStart w:id="210" w:name="__RefHeading___Toc9577_1729075678"/>
      <w:bookmarkEnd w:id="210"/>
      <w:r>
        <w:lastRenderedPageBreak/>
        <w:t>9.  Qualification of utilities</w:t>
      </w:r>
      <w:r>
        <w:rPr>
          <w:b w:val="0"/>
          <w:bCs w:val="0"/>
          <w:color w:val="1A1A1A"/>
          <w:sz w:val="21"/>
          <w:szCs w:val="21"/>
        </w:rPr>
        <w:t xml:space="preserve">   </w:t>
      </w:r>
      <w:r>
        <w:rPr>
          <w:color w:val="C8A24B"/>
          <w:sz w:val="20"/>
          <w:szCs w:val="20"/>
          <w:rtl/>
        </w:rPr>
        <w:t>تأهيل المنافع</w:t>
      </w:r>
    </w:p>
    <w:p w14:paraId="3164B0DC" w14:textId="77777777" w:rsidR="00CD5946" w:rsidRDefault="00000000">
      <w:pPr>
        <w:spacing w:after="40" w:line="266" w:lineRule="auto"/>
        <w:ind w:left="300" w:hanging="300"/>
      </w:pPr>
      <w:r>
        <w:rPr>
          <w:rFonts w:ascii="Arial" w:eastAsia="Arial" w:hAnsi="Arial"/>
          <w:b/>
          <w:bCs/>
          <w:color w:val="15512F"/>
        </w:rPr>
        <w:t xml:space="preserve">9.1  </w:t>
      </w:r>
      <w:r>
        <w:rPr>
          <w:rFonts w:ascii="Arial" w:eastAsia="Arial" w:hAnsi="Arial"/>
          <w:color w:val="1A1A1A"/>
        </w:rPr>
        <w:t>The quality of utilities such as steam, water, air, other gases, etc. shall be confirmed following installation using the qualification steps described above. The period and extent of qualification shall reflect any seasonal variations, where applicable, and the intended use of the utility. A risk assessment shall be carried out where there may be direct contact with the product (for example HVAC systems) or indirect contact (such as through heat exchangers) to mitigate any risks of failure.</w:t>
      </w:r>
    </w:p>
    <w:p w14:paraId="7EE1BDF0" w14:textId="77777777" w:rsidR="00CD5946" w:rsidRDefault="00000000">
      <w:pPr>
        <w:bidi/>
        <w:spacing w:after="150" w:line="300" w:lineRule="auto"/>
        <w:ind w:right="300" w:hanging="300"/>
        <w:jc w:val="right"/>
      </w:pPr>
      <w:r>
        <w:rPr>
          <w:rFonts w:ascii="Arial" w:eastAsia="Arial" w:hAnsi="Arial"/>
          <w:color w:val="333333"/>
          <w:sz w:val="20"/>
          <w:szCs w:val="20"/>
          <w:rtl/>
        </w:rPr>
        <w:t>تُؤكّد جودة المنافع كالبخار والماء والهواء والغازات بعد التركيب باستخدام خطوات التأهيل المذكورة. وتعكس فترة ومدى التأهيل التباينات الموسمية والاستخدام المقصود. ويُجرى تقييم مخاطر حيث يحتمل التلامس المباشر (كأنظمة التكييف) أو غير المباشر (كالمبادلات الحرارية) لتخفيف مخاطر الإخفاق.</w:t>
      </w:r>
      <w:r>
        <w:rPr>
          <w:rFonts w:ascii="Arial" w:eastAsia="Arial" w:hAnsi="Arial"/>
          <w:b/>
          <w:bCs/>
          <w:color w:val="15512F"/>
          <w:sz w:val="20"/>
          <w:szCs w:val="20"/>
          <w:rtl/>
        </w:rPr>
        <w:t xml:space="preserve">  ⁦</w:t>
      </w:r>
      <w:r>
        <w:rPr>
          <w:rFonts w:ascii="Arial" w:eastAsia="Arial" w:hAnsi="Arial"/>
          <w:b/>
          <w:bCs/>
          <w:color w:val="15512F"/>
          <w:sz w:val="20"/>
          <w:szCs w:val="20"/>
        </w:rPr>
        <w:t>9.1</w:t>
      </w:r>
      <w:r>
        <w:rPr>
          <w:rFonts w:ascii="Arial" w:eastAsia="Arial" w:hAnsi="Arial"/>
          <w:b/>
          <w:bCs/>
          <w:color w:val="15512F"/>
          <w:sz w:val="20"/>
          <w:szCs w:val="20"/>
          <w:rtl/>
        </w:rPr>
        <w:t>⁩</w:t>
      </w:r>
    </w:p>
    <w:p w14:paraId="35408E1C" w14:textId="77777777" w:rsidR="00CD5946" w:rsidRDefault="00000000">
      <w:pPr>
        <w:pStyle w:val="Heading2"/>
        <w:spacing w:before="220"/>
      </w:pPr>
      <w:bookmarkStart w:id="211" w:name="__RefHeading___Toc9579_1729075678"/>
      <w:bookmarkEnd w:id="211"/>
      <w:r>
        <w:t>10.  Validation of test methods</w:t>
      </w:r>
      <w:r>
        <w:rPr>
          <w:b w:val="0"/>
          <w:bCs w:val="0"/>
          <w:color w:val="1A1A1A"/>
          <w:sz w:val="21"/>
          <w:szCs w:val="21"/>
        </w:rPr>
        <w:t xml:space="preserve">   </w:t>
      </w:r>
      <w:r>
        <w:rPr>
          <w:color w:val="C8A24B"/>
          <w:sz w:val="20"/>
          <w:szCs w:val="20"/>
          <w:rtl/>
        </w:rPr>
        <w:t>تحقّق طرائق الاختبار</w:t>
      </w:r>
    </w:p>
    <w:p w14:paraId="08988DA2" w14:textId="77777777" w:rsidR="00CD5946" w:rsidRDefault="00000000">
      <w:pPr>
        <w:spacing w:after="40" w:line="266" w:lineRule="auto"/>
        <w:ind w:left="300" w:hanging="300"/>
      </w:pPr>
      <w:r>
        <w:rPr>
          <w:rFonts w:ascii="Arial" w:eastAsia="Arial" w:hAnsi="Arial"/>
          <w:b/>
          <w:bCs/>
          <w:color w:val="15512F"/>
        </w:rPr>
        <w:t xml:space="preserve">10.1  </w:t>
      </w:r>
      <w:r>
        <w:rPr>
          <w:rFonts w:ascii="Arial" w:eastAsia="Arial" w:hAnsi="Arial"/>
          <w:color w:val="1A1A1A"/>
        </w:rPr>
        <w:t>All analytical test methods used in qualification, validation or cleaning exercises shall be validated with appropriate detection and quantification limits, in accordance with ICH Q2, where necessary, before use. Test methods used to monitor the process and to release the product shall be validated for their intended purpose; where a pharmacopoeial method is used, verification of its suitability under actual conditions of use shall be performed.</w:t>
      </w:r>
    </w:p>
    <w:p w14:paraId="5F7E41F0"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تُتحقّق جميع طرائق الاختبار المستخدمة في التأهيل والتحقّق والتنظيف بحدود كشف وتقدير مناسبة وفق </w:t>
      </w:r>
      <w:r>
        <w:rPr>
          <w:rFonts w:ascii="Arial" w:eastAsia="Arial" w:hAnsi="Arial"/>
          <w:color w:val="333333"/>
          <w:sz w:val="20"/>
          <w:szCs w:val="20"/>
        </w:rPr>
        <w:t>ICH Q</w:t>
      </w:r>
      <w:r>
        <w:rPr>
          <w:rFonts w:ascii="Arial" w:eastAsia="Arial" w:hAnsi="Arial"/>
          <w:color w:val="333333"/>
          <w:sz w:val="20"/>
          <w:szCs w:val="20"/>
          <w:rtl/>
        </w:rPr>
        <w:t>⁦</w:t>
      </w:r>
      <w:r>
        <w:rPr>
          <w:rFonts w:ascii="Arial" w:eastAsia="Arial" w:hAnsi="Arial"/>
          <w:color w:val="333333"/>
          <w:sz w:val="20"/>
          <w:szCs w:val="20"/>
        </w:rPr>
        <w:t>2</w:t>
      </w:r>
      <w:r>
        <w:rPr>
          <w:rFonts w:ascii="Arial" w:eastAsia="Arial" w:hAnsi="Arial"/>
          <w:color w:val="333333"/>
          <w:sz w:val="20"/>
          <w:szCs w:val="20"/>
          <w:rtl/>
        </w:rPr>
        <w:t>⁩ عند اللزوم قبل الاستخدام. وتُتحقّق طرائق مراقبة العملية والإفراج للغرض المقصود؛ وعند استخدام طريقة دستورية يُتحقّق من ملاءمتها في ظروف الاستخدام الفعلية.</w:t>
      </w:r>
      <w:r>
        <w:rPr>
          <w:rFonts w:ascii="Arial" w:eastAsia="Arial" w:hAnsi="Arial"/>
          <w:b/>
          <w:bCs/>
          <w:color w:val="15512F"/>
          <w:sz w:val="20"/>
          <w:szCs w:val="20"/>
          <w:rtl/>
        </w:rPr>
        <w:t xml:space="preserve">  ⁦</w:t>
      </w:r>
      <w:r>
        <w:rPr>
          <w:rFonts w:ascii="Arial" w:eastAsia="Arial" w:hAnsi="Arial"/>
          <w:b/>
          <w:bCs/>
          <w:color w:val="15512F"/>
          <w:sz w:val="20"/>
          <w:szCs w:val="20"/>
        </w:rPr>
        <w:t>10.1</w:t>
      </w:r>
      <w:r>
        <w:rPr>
          <w:rFonts w:ascii="Arial" w:eastAsia="Arial" w:hAnsi="Arial"/>
          <w:b/>
          <w:bCs/>
          <w:color w:val="15512F"/>
          <w:sz w:val="20"/>
          <w:szCs w:val="20"/>
          <w:rtl/>
        </w:rPr>
        <w:t>⁩</w:t>
      </w:r>
    </w:p>
    <w:p w14:paraId="09B475F9" w14:textId="77777777" w:rsidR="00CD5946" w:rsidRDefault="00000000">
      <w:pPr>
        <w:pStyle w:val="Heading2"/>
        <w:spacing w:before="220"/>
      </w:pPr>
      <w:bookmarkStart w:id="212" w:name="__RefHeading___Toc9581_1729075678"/>
      <w:bookmarkEnd w:id="212"/>
      <w:r>
        <w:t>11.  Cleaning validation</w:t>
      </w:r>
      <w:r>
        <w:rPr>
          <w:b w:val="0"/>
          <w:bCs w:val="0"/>
          <w:color w:val="1A1A1A"/>
          <w:sz w:val="21"/>
          <w:szCs w:val="21"/>
        </w:rPr>
        <w:t xml:space="preserve">   </w:t>
      </w:r>
      <w:r>
        <w:rPr>
          <w:color w:val="C8A24B"/>
          <w:sz w:val="20"/>
          <w:szCs w:val="20"/>
          <w:rtl/>
        </w:rPr>
        <w:t>تحقّق التنظيف</w:t>
      </w:r>
    </w:p>
    <w:p w14:paraId="6B1E8681" w14:textId="77777777" w:rsidR="00CD5946" w:rsidRDefault="00000000">
      <w:pPr>
        <w:spacing w:after="40" w:line="266" w:lineRule="auto"/>
        <w:ind w:left="300" w:hanging="300"/>
      </w:pPr>
      <w:r>
        <w:rPr>
          <w:rFonts w:ascii="Arial" w:eastAsia="Arial" w:hAnsi="Arial"/>
          <w:b/>
          <w:bCs/>
          <w:color w:val="15512F"/>
        </w:rPr>
        <w:t xml:space="preserve">11.1  </w:t>
      </w:r>
      <w:r>
        <w:rPr>
          <w:rFonts w:ascii="Arial" w:eastAsia="Arial" w:hAnsi="Arial"/>
          <w:color w:val="1A1A1A"/>
        </w:rPr>
        <w:t>Cleaning validation shall be performed to confirm the effectiveness of any cleaning procedure for all product-contact equipment. Simulating agents may be used with appropriate scientific justification. Where similar types of equipment are grouped, a justification of the specific equipment selected for cleaning validation (bracketing/worst-case) shall be documented. The cleaning validation shall reflect the actual equipment usage, and the visual inspection shall form part of the acceptance criteria; a visually-clean result alone shall not normally be acceptable as the sole acceptance criterion.</w:t>
      </w:r>
    </w:p>
    <w:p w14:paraId="0D1AF3C9" w14:textId="77777777" w:rsidR="00CD5946" w:rsidRDefault="00000000">
      <w:pPr>
        <w:bidi/>
        <w:spacing w:after="150" w:line="300" w:lineRule="auto"/>
        <w:ind w:right="300" w:hanging="300"/>
        <w:jc w:val="right"/>
      </w:pPr>
      <w:r>
        <w:rPr>
          <w:rFonts w:ascii="Arial" w:eastAsia="Arial" w:hAnsi="Arial"/>
          <w:color w:val="333333"/>
          <w:sz w:val="20"/>
          <w:szCs w:val="20"/>
          <w:rtl/>
        </w:rPr>
        <w:t>يُجرى تحقّق التنظيف لتأكيد فعّالية إجراء التنظيف لكل المعدّات الملامسة للمنتج. ويجوز استخدام عوامل محاكية بتبرير علمي. وعند تجميع المعدّات المتشابهة يُوثّق تبرير اختيار المعدّة (أسوأ حالة/التقويس). ويعكس التحقّق الاستخدام الفعلي، ويشكّل الفحص البصري جزءاً من معايير القبول؛ ولا يُقبل الاكتفاء بالنظافة البصرية وحدها معياراً للقبول في الأحوال العادية.</w:t>
      </w:r>
      <w:r>
        <w:rPr>
          <w:rFonts w:ascii="Arial" w:eastAsia="Arial" w:hAnsi="Arial"/>
          <w:b/>
          <w:bCs/>
          <w:color w:val="15512F"/>
          <w:sz w:val="20"/>
          <w:szCs w:val="20"/>
          <w:rtl/>
        </w:rPr>
        <w:t xml:space="preserve">  ⁦</w:t>
      </w:r>
      <w:r>
        <w:rPr>
          <w:rFonts w:ascii="Arial" w:eastAsia="Arial" w:hAnsi="Arial"/>
          <w:b/>
          <w:bCs/>
          <w:color w:val="15512F"/>
          <w:sz w:val="20"/>
          <w:szCs w:val="20"/>
        </w:rPr>
        <w:t>11.1</w:t>
      </w:r>
      <w:r>
        <w:rPr>
          <w:rFonts w:ascii="Arial" w:eastAsia="Arial" w:hAnsi="Arial"/>
          <w:b/>
          <w:bCs/>
          <w:color w:val="15512F"/>
          <w:sz w:val="20"/>
          <w:szCs w:val="20"/>
          <w:rtl/>
        </w:rPr>
        <w:t>⁩</w:t>
      </w:r>
    </w:p>
    <w:p w14:paraId="5E070F4E" w14:textId="77777777" w:rsidR="00CD5946" w:rsidRDefault="00000000">
      <w:pPr>
        <w:spacing w:after="40" w:line="266" w:lineRule="auto"/>
        <w:ind w:left="300" w:hanging="300"/>
      </w:pPr>
      <w:r>
        <w:rPr>
          <w:rFonts w:ascii="Arial" w:eastAsia="Arial" w:hAnsi="Arial"/>
          <w:b/>
          <w:bCs/>
          <w:color w:val="15512F"/>
        </w:rPr>
        <w:t xml:space="preserve">11.2  </w:t>
      </w:r>
      <w:r>
        <w:rPr>
          <w:rFonts w:ascii="Arial" w:eastAsia="Arial" w:hAnsi="Arial"/>
          <w:color w:val="1A1A1A"/>
        </w:rPr>
        <w:t>Limits for the carry-over of product residues shall be based on a toxicological evaluation through the establishment of a Health-Based Exposure Limit (HBEL), expressed as a Permitted Daily Exposure (PDE). The justification for the selected limits shall be documented and shall take account of all relevant factors. The maximum carry-over (for example expressed as a MACO calculation) shall be derived from the HBEL/PDE rather than from arbitrary criteria; legacy criteria such as 1/1000 of the therapeutic dose or 10 ppm may be retained only where they are more conservative than the HBEL-based value.</w:t>
      </w:r>
    </w:p>
    <w:p w14:paraId="4FE30065" w14:textId="77777777" w:rsidR="00CD5946" w:rsidRDefault="00000000">
      <w:pPr>
        <w:bidi/>
        <w:spacing w:after="150" w:line="300" w:lineRule="auto"/>
        <w:ind w:right="300" w:hanging="300"/>
        <w:jc w:val="right"/>
      </w:pPr>
      <w:r>
        <w:rPr>
          <w:rFonts w:ascii="Arial" w:eastAsia="Arial" w:hAnsi="Arial"/>
          <w:color w:val="333333"/>
          <w:sz w:val="20"/>
          <w:szCs w:val="20"/>
          <w:rtl/>
        </w:rPr>
        <w:t>تُبنى حدود انتقال بقايا المنتج على تقييم سمّي بتحديد حدّ تعرّض قائم على الصحّة (</w:t>
      </w:r>
      <w:r>
        <w:rPr>
          <w:rFonts w:ascii="Arial" w:eastAsia="Arial" w:hAnsi="Arial"/>
          <w:color w:val="333333"/>
          <w:sz w:val="20"/>
          <w:szCs w:val="20"/>
        </w:rPr>
        <w:t>HBEL</w:t>
      </w:r>
      <w:r>
        <w:rPr>
          <w:rFonts w:ascii="Arial" w:eastAsia="Arial" w:hAnsi="Arial"/>
          <w:color w:val="333333"/>
          <w:sz w:val="20"/>
          <w:szCs w:val="20"/>
          <w:rtl/>
        </w:rPr>
        <w:t>) يُعبّر عنه بالتعرّض اليومي المسموح (</w:t>
      </w:r>
      <w:r>
        <w:rPr>
          <w:rFonts w:ascii="Arial" w:eastAsia="Arial" w:hAnsi="Arial"/>
          <w:color w:val="333333"/>
          <w:sz w:val="20"/>
          <w:szCs w:val="20"/>
        </w:rPr>
        <w:t>PDE</w:t>
      </w:r>
      <w:r>
        <w:rPr>
          <w:rFonts w:ascii="Arial" w:eastAsia="Arial" w:hAnsi="Arial"/>
          <w:color w:val="333333"/>
          <w:sz w:val="20"/>
          <w:szCs w:val="20"/>
          <w:rtl/>
        </w:rPr>
        <w:t xml:space="preserve">). ويُوثّق تبرير الحدود المختارة مع مراعاة كل العوامل. ويُشتقّ أقصى انتقال (كحساب </w:t>
      </w:r>
      <w:r>
        <w:rPr>
          <w:rFonts w:ascii="Arial" w:eastAsia="Arial" w:hAnsi="Arial"/>
          <w:color w:val="333333"/>
          <w:sz w:val="20"/>
          <w:szCs w:val="20"/>
        </w:rPr>
        <w:t>MACO</w:t>
      </w:r>
      <w:r>
        <w:rPr>
          <w:rFonts w:ascii="Arial" w:eastAsia="Arial" w:hAnsi="Arial"/>
          <w:color w:val="333333"/>
          <w:sz w:val="20"/>
          <w:szCs w:val="20"/>
          <w:rtl/>
        </w:rPr>
        <w:t xml:space="preserve">) من </w:t>
      </w:r>
      <w:r>
        <w:rPr>
          <w:rFonts w:ascii="Arial" w:eastAsia="Arial" w:hAnsi="Arial"/>
          <w:color w:val="333333"/>
          <w:sz w:val="20"/>
          <w:szCs w:val="20"/>
        </w:rPr>
        <w:t>HBEL/PDE</w:t>
      </w:r>
      <w:r>
        <w:rPr>
          <w:rFonts w:ascii="Arial" w:eastAsia="Arial" w:hAnsi="Arial"/>
          <w:color w:val="333333"/>
          <w:sz w:val="20"/>
          <w:szCs w:val="20"/>
          <w:rtl/>
        </w:rPr>
        <w:t xml:space="preserve"> بدلاً من معايير اعتباطية؛ ولا تُبقى المعايير التقليدية (⁦</w:t>
      </w:r>
      <w:r>
        <w:rPr>
          <w:rFonts w:ascii="Arial" w:eastAsia="Arial" w:hAnsi="Arial"/>
          <w:color w:val="333333"/>
          <w:sz w:val="20"/>
          <w:szCs w:val="20"/>
        </w:rPr>
        <w:t>1/1000</w:t>
      </w:r>
      <w:r>
        <w:rPr>
          <w:rFonts w:ascii="Arial" w:eastAsia="Arial" w:hAnsi="Arial"/>
          <w:color w:val="333333"/>
          <w:sz w:val="20"/>
          <w:szCs w:val="20"/>
          <w:rtl/>
        </w:rPr>
        <w:t>⁩ من الجرعة أو ⁦</w:t>
      </w:r>
      <w:r>
        <w:rPr>
          <w:rFonts w:ascii="Arial" w:eastAsia="Arial" w:hAnsi="Arial"/>
          <w:color w:val="333333"/>
          <w:sz w:val="20"/>
          <w:szCs w:val="20"/>
        </w:rPr>
        <w:t>10 ppm</w:t>
      </w:r>
      <w:r>
        <w:rPr>
          <w:rFonts w:ascii="Arial" w:eastAsia="Arial" w:hAnsi="Arial"/>
          <w:color w:val="333333"/>
          <w:sz w:val="20"/>
          <w:szCs w:val="20"/>
          <w:rtl/>
        </w:rPr>
        <w:t xml:space="preserve">⁩) إلّا حيث تكون أكثر تحفّظاً من القيمة القائمة على </w:t>
      </w:r>
      <w:r>
        <w:rPr>
          <w:rFonts w:ascii="Arial" w:eastAsia="Arial" w:hAnsi="Arial"/>
          <w:color w:val="333333"/>
          <w:sz w:val="20"/>
          <w:szCs w:val="20"/>
        </w:rPr>
        <w:t>HBEL</w:t>
      </w:r>
      <w:r>
        <w:rPr>
          <w:rFonts w:ascii="Arial" w:eastAsia="Arial" w:hAnsi="Arial"/>
          <w:color w:val="333333"/>
          <w:sz w:val="20"/>
          <w:szCs w:val="20"/>
          <w:rtl/>
        </w:rPr>
        <w:t>.</w:t>
      </w:r>
      <w:r>
        <w:rPr>
          <w:rFonts w:ascii="Arial" w:eastAsia="Arial" w:hAnsi="Arial"/>
          <w:b/>
          <w:bCs/>
          <w:color w:val="15512F"/>
          <w:sz w:val="20"/>
          <w:szCs w:val="20"/>
          <w:rtl/>
        </w:rPr>
        <w:t xml:space="preserve">  ⁦</w:t>
      </w:r>
      <w:r>
        <w:rPr>
          <w:rFonts w:ascii="Arial" w:eastAsia="Arial" w:hAnsi="Arial"/>
          <w:b/>
          <w:bCs/>
          <w:color w:val="15512F"/>
          <w:sz w:val="20"/>
          <w:szCs w:val="20"/>
        </w:rPr>
        <w:t>11.2</w:t>
      </w:r>
      <w:r>
        <w:rPr>
          <w:rFonts w:ascii="Arial" w:eastAsia="Arial" w:hAnsi="Arial"/>
          <w:b/>
          <w:bCs/>
          <w:color w:val="15512F"/>
          <w:sz w:val="20"/>
          <w:szCs w:val="20"/>
          <w:rtl/>
        </w:rPr>
        <w:t>⁩</w:t>
      </w:r>
    </w:p>
    <w:p w14:paraId="52931375" w14:textId="77777777" w:rsidR="00CD5946" w:rsidRDefault="00000000">
      <w:pPr>
        <w:spacing w:after="40" w:line="266" w:lineRule="auto"/>
        <w:ind w:left="300" w:hanging="300"/>
      </w:pPr>
      <w:r>
        <w:rPr>
          <w:rFonts w:ascii="Arial" w:eastAsia="Arial" w:hAnsi="Arial"/>
          <w:b/>
          <w:bCs/>
          <w:color w:val="15512F"/>
        </w:rPr>
        <w:t xml:space="preserve">11.3  </w:t>
      </w:r>
      <w:r>
        <w:rPr>
          <w:rFonts w:ascii="Arial" w:eastAsia="Arial" w:hAnsi="Arial"/>
          <w:color w:val="1A1A1A"/>
        </w:rPr>
        <w:t xml:space="preserve">The cleaning procedure shall be validated for the appropriate number of runs based on a risk assessment (commonly a minimum of three consecutive successful applications), and shall address the dirty- and clean-hold times, the maximum campaign length, and the recovery of residues by validated sampling (swab and/or rinse) and analytical methods. Acceptance criteria </w:t>
        <w:lastRenderedPageBreak/>
        <w:t>shall cover residues of product, cleaning agents and microbial bioburden/endotoxin as relevant. For dedicated equipment, the rationale for the cleaning approach shall be documented.</w:t>
      </w:r>
    </w:p>
    <w:p w14:paraId="6F5E5780" w14:textId="77777777" w:rsidR="00CD5946" w:rsidRDefault="00000000">
      <w:pPr>
        <w:bidi/>
        <w:spacing w:after="150" w:line="300" w:lineRule="auto"/>
        <w:ind w:right="300" w:hanging="300"/>
        <w:jc w:val="right"/>
      </w:pPr>
      <w:r>
        <w:rPr>
          <w:rFonts w:ascii="Arial" w:eastAsia="Arial" w:hAnsi="Arial"/>
          <w:color w:val="333333"/>
          <w:sz w:val="20"/>
          <w:szCs w:val="20"/>
          <w:rtl/>
        </w:rPr>
        <w:t>يُتحقّق إجراء التنظيف لعدد مناسب من المرّات بناءً على تقييم المخاطر (عادةً ثلاث تطبيقات ناجحة متتالية)، ويتناول أوقات الحفظ قبل وبعد التنظيف وأقصى طول حملة، واسترداد البقايا بعينات مُتحقّقة (مسح و/أو شطف) وطرائق تحليلية. وتغطّي معايير القبول بقايا المنتج ومواد التنظيف والحمل الميكروبي/الذيفان حسب الاقتضاء.</w:t>
      </w:r>
      <w:r>
        <w:rPr>
          <w:rFonts w:ascii="Arial" w:eastAsia="Arial" w:hAnsi="Arial"/>
          <w:b/>
          <w:bCs/>
          <w:color w:val="15512F"/>
          <w:sz w:val="20"/>
          <w:szCs w:val="20"/>
          <w:rtl/>
        </w:rPr>
        <w:t xml:space="preserve">  ⁦</w:t>
      </w:r>
      <w:r>
        <w:rPr>
          <w:rFonts w:ascii="Arial" w:eastAsia="Arial" w:hAnsi="Arial"/>
          <w:b/>
          <w:bCs/>
          <w:color w:val="15512F"/>
          <w:sz w:val="20"/>
          <w:szCs w:val="20"/>
        </w:rPr>
        <w:t>11.3</w:t>
      </w:r>
      <w:r>
        <w:rPr>
          <w:rFonts w:ascii="Arial" w:eastAsia="Arial" w:hAnsi="Arial"/>
          <w:b/>
          <w:bCs/>
          <w:color w:val="15512F"/>
          <w:sz w:val="20"/>
          <w:szCs w:val="20"/>
          <w:rtl/>
        </w:rPr>
        <w:t>⁩</w:t>
      </w:r>
    </w:p>
    <w:p w14:paraId="114FCE34" w14:textId="77777777" w:rsidR="00CD5946" w:rsidRDefault="00000000">
      <w:pP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The HBEL/PDE basis for carry-over limits follows the EMA guideline on setting health-based exposure limits (EMA/CHMP/CVMP/SWP/169430/2012). The historical criteria — 1/1000 of the minimum therapeutic dose and a 10 ppm general limit — are retained only as a fallback where they yield a stricter result than the HBEL-derived value, and the basis of any limit applied shall be documented.</w:t>
      </w:r>
    </w:p>
    <w:p w14:paraId="3DA64861" w14:textId="77777777" w:rsidR="00CD5946" w:rsidRDefault="00000000">
      <w:pPr>
        <w:bidi/>
        <w:spacing w:after="140"/>
        <w:ind w:right="300"/>
        <w:jc w:val="right"/>
      </w:pPr>
      <w:r>
        <w:rPr>
          <w:rFonts w:ascii="Arial" w:eastAsia="Arial" w:hAnsi="Arial"/>
          <w:color w:val="5A5A5A"/>
          <w:sz w:val="18"/>
          <w:szCs w:val="18"/>
          <w:rtl/>
        </w:rPr>
        <w:t xml:space="preserve">يتبع أساس </w:t>
      </w:r>
      <w:r>
        <w:rPr>
          <w:rFonts w:ascii="Arial" w:eastAsia="Arial" w:hAnsi="Arial"/>
          <w:color w:val="5A5A5A"/>
          <w:sz w:val="18"/>
          <w:szCs w:val="18"/>
        </w:rPr>
        <w:t>HBEL/PDE</w:t>
      </w:r>
      <w:r>
        <w:rPr>
          <w:rFonts w:ascii="Arial" w:eastAsia="Arial" w:hAnsi="Arial"/>
          <w:color w:val="5A5A5A"/>
          <w:sz w:val="18"/>
          <w:szCs w:val="18"/>
          <w:rtl/>
        </w:rPr>
        <w:t xml:space="preserve"> لحدود الانتقال دليل </w:t>
      </w:r>
      <w:r>
        <w:rPr>
          <w:rFonts w:ascii="Arial" w:eastAsia="Arial" w:hAnsi="Arial"/>
          <w:color w:val="5A5A5A"/>
          <w:sz w:val="18"/>
          <w:szCs w:val="18"/>
        </w:rPr>
        <w:t>EMA</w:t>
      </w:r>
      <w:r>
        <w:rPr>
          <w:rFonts w:ascii="Arial" w:eastAsia="Arial" w:hAnsi="Arial"/>
          <w:color w:val="5A5A5A"/>
          <w:sz w:val="18"/>
          <w:szCs w:val="18"/>
          <w:rtl/>
        </w:rPr>
        <w:t xml:space="preserve"> لوضع حدود التعرّض القائمة على الصحّة (</w:t>
      </w:r>
      <w:r>
        <w:rPr>
          <w:rFonts w:ascii="Arial" w:eastAsia="Arial" w:hAnsi="Arial"/>
          <w:color w:val="5A5A5A"/>
          <w:sz w:val="18"/>
          <w:szCs w:val="18"/>
        </w:rPr>
        <w:t>EMA/CHMP/CVMP/SWP</w:t>
      </w:r>
      <w:r>
        <w:rPr>
          <w:rFonts w:ascii="Arial" w:eastAsia="Arial" w:hAnsi="Arial"/>
          <w:color w:val="5A5A5A"/>
          <w:sz w:val="18"/>
          <w:szCs w:val="18"/>
          <w:rtl/>
        </w:rPr>
        <w:t>/⁦</w:t>
      </w:r>
      <w:r>
        <w:rPr>
          <w:rFonts w:ascii="Arial" w:eastAsia="Arial" w:hAnsi="Arial"/>
          <w:color w:val="5A5A5A"/>
          <w:sz w:val="18"/>
          <w:szCs w:val="18"/>
        </w:rPr>
        <w:t>169430/2012</w:t>
      </w:r>
      <w:r>
        <w:rPr>
          <w:rFonts w:ascii="Arial" w:eastAsia="Arial" w:hAnsi="Arial"/>
          <w:color w:val="5A5A5A"/>
          <w:sz w:val="18"/>
          <w:szCs w:val="18"/>
          <w:rtl/>
        </w:rPr>
        <w:t>⁩). والمعايير التاريخية — ⁦</w:t>
      </w:r>
      <w:r>
        <w:rPr>
          <w:rFonts w:ascii="Arial" w:eastAsia="Arial" w:hAnsi="Arial"/>
          <w:color w:val="5A5A5A"/>
          <w:sz w:val="18"/>
          <w:szCs w:val="18"/>
        </w:rPr>
        <w:t>1/1000</w:t>
      </w:r>
      <w:r>
        <w:rPr>
          <w:rFonts w:ascii="Arial" w:eastAsia="Arial" w:hAnsi="Arial"/>
          <w:color w:val="5A5A5A"/>
          <w:sz w:val="18"/>
          <w:szCs w:val="18"/>
          <w:rtl/>
        </w:rPr>
        <w:t>⁩ من أدنى جرعة علاجية وحدّ عام ⁦</w:t>
      </w:r>
      <w:r>
        <w:rPr>
          <w:rFonts w:ascii="Arial" w:eastAsia="Arial" w:hAnsi="Arial"/>
          <w:color w:val="5A5A5A"/>
          <w:sz w:val="18"/>
          <w:szCs w:val="18"/>
        </w:rPr>
        <w:t>10 ppm —</w:t>
      </w:r>
      <w:r>
        <w:rPr>
          <w:rFonts w:ascii="Arial" w:eastAsia="Arial" w:hAnsi="Arial"/>
          <w:color w:val="5A5A5A"/>
          <w:sz w:val="18"/>
          <w:szCs w:val="18"/>
          <w:rtl/>
        </w:rPr>
        <w:t xml:space="preserve">⁩ تُبقى فقط كبديل حيث تعطي نتيجة أكثر تحفّظاً من القيمة المستمدّة من </w:t>
      </w:r>
      <w:r>
        <w:rPr>
          <w:rFonts w:ascii="Arial" w:eastAsia="Arial" w:hAnsi="Arial"/>
          <w:color w:val="5A5A5A"/>
          <w:sz w:val="18"/>
          <w:szCs w:val="18"/>
        </w:rPr>
        <w:t>HBEL</w:t>
      </w:r>
      <w:r>
        <w:rPr>
          <w:rFonts w:ascii="Arial" w:eastAsia="Arial" w:hAnsi="Arial"/>
          <w:color w:val="5A5A5A"/>
          <w:sz w:val="18"/>
          <w:szCs w:val="18"/>
          <w:rtl/>
        </w:rPr>
        <w:t>، ويُوثّق أساس أيّ حدّ يُطبّق.</w:t>
      </w:r>
      <w:r>
        <w:rPr>
          <w:rFonts w:ascii="Arial" w:eastAsia="Arial" w:hAnsi="Arial"/>
          <w:b/>
          <w:bCs/>
          <w:color w:val="5A5A5A"/>
          <w:sz w:val="18"/>
          <w:szCs w:val="18"/>
          <w:rtl/>
        </w:rPr>
        <w:t xml:space="preserve">  ملاحظة.</w:t>
      </w:r>
    </w:p>
    <w:p w14:paraId="2F338084" w14:textId="77777777" w:rsidR="00CD5946" w:rsidRDefault="00000000">
      <w:pPr>
        <w:pStyle w:val="Heading2"/>
        <w:spacing w:before="220"/>
      </w:pPr>
      <w:bookmarkStart w:id="213" w:name="__RefHeading___Toc9583_1729075678"/>
      <w:bookmarkEnd w:id="213"/>
      <w:r>
        <w:t>12.  Change control</w:t>
      </w:r>
      <w:r>
        <w:rPr>
          <w:b w:val="0"/>
          <w:bCs w:val="0"/>
          <w:color w:val="1A1A1A"/>
          <w:sz w:val="21"/>
          <w:szCs w:val="21"/>
        </w:rPr>
        <w:t xml:space="preserve">   </w:t>
      </w:r>
      <w:r>
        <w:rPr>
          <w:color w:val="C8A24B"/>
          <w:sz w:val="20"/>
          <w:szCs w:val="20"/>
          <w:rtl/>
        </w:rPr>
        <w:t>ضبط التغيير</w:t>
      </w:r>
    </w:p>
    <w:p w14:paraId="65D6022C" w14:textId="77777777" w:rsidR="00CD5946" w:rsidRDefault="00000000">
      <w:pPr>
        <w:spacing w:after="40" w:line="266" w:lineRule="auto"/>
        <w:ind w:left="300" w:hanging="300"/>
      </w:pPr>
      <w:r>
        <w:rPr>
          <w:rFonts w:ascii="Arial" w:eastAsia="Arial" w:hAnsi="Arial"/>
          <w:b/>
          <w:bCs/>
          <w:color w:val="15512F"/>
        </w:rPr>
        <w:t xml:space="preserve">12.1  </w:t>
      </w:r>
      <w:r>
        <w:rPr>
          <w:rFonts w:ascii="Arial" w:eastAsia="Arial" w:hAnsi="Arial"/>
          <w:color w:val="1A1A1A"/>
        </w:rPr>
        <w:t>Change control is an important part of knowledge management and shall be handled within the pharmaceutical quality system. Written procedures shall describe the actions to be taken if a change is proposed to a starting material, product component, process, equipment, premises, product range, method of production or testing, batch size, design space, or any other change that may affect product quality or reproducibility. The change shall be assessed by appropriately qualified persons for its impact on the validated status.</w:t>
      </w:r>
    </w:p>
    <w:p w14:paraId="5E1E30FE" w14:textId="77777777" w:rsidR="00CD5946" w:rsidRDefault="00000000">
      <w:pPr>
        <w:bidi/>
        <w:spacing w:after="150" w:line="300" w:lineRule="auto"/>
        <w:ind w:right="300" w:hanging="300"/>
        <w:jc w:val="right"/>
      </w:pPr>
      <w:r>
        <w:rPr>
          <w:rFonts w:ascii="Arial" w:eastAsia="Arial" w:hAnsi="Arial"/>
          <w:color w:val="333333"/>
          <w:sz w:val="20"/>
          <w:szCs w:val="20"/>
          <w:rtl/>
        </w:rPr>
        <w:t>يُعدّ ضبط التغيير جزءاً مهمّاً من إدارة المعرفة ويُدار ضمن نظام الجودة. وتصف الإجراءات المكتوبة ما يُتّخذ عند اقتراح تغيير على مادة أولية أو مكوّن أو عملية أو معدّة أو مبنى أو مدى منتج أو طريقة إنتاج أو اختبار أو حجم دفعة أو مجال تصميم أو أي تغيير قد يؤثّر في الجودة أو التكرارية. ويُقيّم التغيير أشخاص مؤهّلون لأثره على حالة التحقّق.</w:t>
      </w:r>
      <w:r>
        <w:rPr>
          <w:rFonts w:ascii="Arial" w:eastAsia="Arial" w:hAnsi="Arial"/>
          <w:b/>
          <w:bCs/>
          <w:color w:val="15512F"/>
          <w:sz w:val="20"/>
          <w:szCs w:val="20"/>
          <w:rtl/>
        </w:rPr>
        <w:t xml:space="preserve">  ⁦</w:t>
      </w:r>
      <w:r>
        <w:rPr>
          <w:rFonts w:ascii="Arial" w:eastAsia="Arial" w:hAnsi="Arial"/>
          <w:b/>
          <w:bCs/>
          <w:color w:val="15512F"/>
          <w:sz w:val="20"/>
          <w:szCs w:val="20"/>
        </w:rPr>
        <w:t>12.1</w:t>
      </w:r>
      <w:r>
        <w:rPr>
          <w:rFonts w:ascii="Arial" w:eastAsia="Arial" w:hAnsi="Arial"/>
          <w:b/>
          <w:bCs/>
          <w:color w:val="15512F"/>
          <w:sz w:val="20"/>
          <w:szCs w:val="20"/>
          <w:rtl/>
        </w:rPr>
        <w:t>⁩</w:t>
      </w:r>
    </w:p>
    <w:p w14:paraId="474A6667" w14:textId="77777777" w:rsidR="00CD5946" w:rsidRDefault="00000000">
      <w:pPr>
        <w:spacing w:after="40" w:line="266" w:lineRule="auto"/>
        <w:ind w:left="300" w:hanging="300"/>
      </w:pPr>
      <w:r>
        <w:rPr>
          <w:rFonts w:ascii="Arial" w:eastAsia="Arial" w:hAnsi="Arial"/>
          <w:b/>
          <w:bCs/>
          <w:color w:val="15512F"/>
        </w:rPr>
        <w:t xml:space="preserve">12.2  </w:t>
      </w:r>
      <w:r>
        <w:rPr>
          <w:rFonts w:ascii="Arial" w:eastAsia="Arial" w:hAnsi="Arial"/>
          <w:color w:val="1A1A1A"/>
        </w:rPr>
        <w:t>After implementation, and where appropriate, an evaluation of the effectiveness of the change shall confirm that the change has been successful and has not adversely affected product quality. The extent of re-qualification or re-validation required shall be determined by risk assessment, and the change shall be closed only when the required actions are completed and documented.</w:t>
      </w:r>
    </w:p>
    <w:p w14:paraId="0C474700" w14:textId="77777777" w:rsidR="00CD5946" w:rsidRDefault="00000000">
      <w:pPr>
        <w:bidi/>
        <w:spacing w:after="150" w:line="300" w:lineRule="auto"/>
        <w:ind w:right="300" w:hanging="300"/>
        <w:jc w:val="right"/>
      </w:pPr>
      <w:r>
        <w:rPr>
          <w:rFonts w:ascii="Arial" w:eastAsia="Arial" w:hAnsi="Arial"/>
          <w:color w:val="333333"/>
          <w:sz w:val="20"/>
          <w:szCs w:val="20"/>
          <w:rtl/>
        </w:rPr>
        <w:t>بعد التنفيذ يُجرى — عند الاقتضاء — تقييم لفعّالية التغيير لتأكيد نجاحه وعدم تأثيره سلباً في الجودة. ويُحدّد مدى إعادة التأهيل أو التحقّق بتقييم المخاطر، ولا يُغلَق التغيير إلّا بعد إكمال الإجراءات وتوثيقها.</w:t>
      </w:r>
      <w:r>
        <w:rPr>
          <w:rFonts w:ascii="Arial" w:eastAsia="Arial" w:hAnsi="Arial"/>
          <w:b/>
          <w:bCs/>
          <w:color w:val="15512F"/>
          <w:sz w:val="20"/>
          <w:szCs w:val="20"/>
          <w:rtl/>
        </w:rPr>
        <w:t xml:space="preserve">  ⁦</w:t>
      </w:r>
      <w:r>
        <w:rPr>
          <w:rFonts w:ascii="Arial" w:eastAsia="Arial" w:hAnsi="Arial"/>
          <w:b/>
          <w:bCs/>
          <w:color w:val="15512F"/>
          <w:sz w:val="20"/>
          <w:szCs w:val="20"/>
        </w:rPr>
        <w:t>12.2</w:t>
      </w:r>
      <w:r>
        <w:rPr>
          <w:rFonts w:ascii="Arial" w:eastAsia="Arial" w:hAnsi="Arial"/>
          <w:b/>
          <w:bCs/>
          <w:color w:val="15512F"/>
          <w:sz w:val="20"/>
          <w:szCs w:val="20"/>
          <w:rtl/>
        </w:rPr>
        <w:t>⁩</w:t>
      </w:r>
    </w:p>
    <w:p w14:paraId="257B8CB7" w14:textId="77777777" w:rsidR="00CD5946" w:rsidRDefault="00000000">
      <w:pPr>
        <w:pStyle w:val="Heading2"/>
        <w:spacing w:before="220"/>
      </w:pPr>
      <w:bookmarkStart w:id="214" w:name="__RefHeading___Toc9585_1729075678"/>
      <w:bookmarkEnd w:id="214"/>
      <w:r>
        <w:t>13.  Glossary (Annex 15)</w:t>
      </w:r>
      <w:r>
        <w:rPr>
          <w:b w:val="0"/>
          <w:bCs w:val="0"/>
          <w:color w:val="1A1A1A"/>
          <w:sz w:val="21"/>
          <w:szCs w:val="21"/>
        </w:rPr>
        <w:t xml:space="preserve">   </w:t>
      </w:r>
      <w:r>
        <w:rPr>
          <w:color w:val="C8A24B"/>
          <w:sz w:val="20"/>
          <w:szCs w:val="20"/>
          <w:rtl/>
        </w:rPr>
        <w:t>مسرد الملحق</w:t>
      </w:r>
      <w:r>
        <w:rPr>
          <w:color w:val="C8A24B"/>
          <w:sz w:val="20"/>
          <w:szCs w:val="20"/>
        </w:rPr>
        <w:t xml:space="preserve"> ⁦15⁩</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600"/>
        <w:gridCol w:w="6760"/>
      </w:tblGrid>
      <w:tr w:rsidR="00CD5946" w14:paraId="75978A81" w14:textId="77777777">
        <w:trPr>
          <w:tblHeader/>
        </w:trPr>
        <w:tc>
          <w:tcPr>
            <w:tcW w:w="2600" w:type="dxa"/>
            <w:tcBorders>
              <w:top w:val="single" w:sz="2" w:space="0" w:color="BFC9C0"/>
              <w:left w:val="single" w:sz="2" w:space="0" w:color="BFC9C0"/>
              <w:bottom w:val="single" w:sz="2" w:space="0" w:color="BFC9C0"/>
              <w:right w:val="single" w:sz="2" w:space="0" w:color="BFC9C0"/>
            </w:tcBorders>
            <w:shd w:val="clear" w:color="auto" w:fill="0E5A50"/>
          </w:tcPr>
          <w:p w14:paraId="0FD2076C" w14:textId="77777777" w:rsidR="00CD5946" w:rsidRDefault="00000000">
            <w:pPr>
              <w:spacing w:after="0"/>
            </w:pPr>
            <w:r>
              <w:rPr>
                <w:rFonts w:ascii="Arial" w:eastAsia="Arial" w:hAnsi="Arial"/>
                <w:b/>
                <w:bCs/>
                <w:color w:val="FFFFFF"/>
                <w:sz w:val="18"/>
                <w:szCs w:val="18"/>
              </w:rPr>
              <w:t xml:space="preserve">Term / </w:t>
            </w:r>
            <w:r>
              <w:rPr>
                <w:rFonts w:ascii="Arial" w:eastAsia="Arial" w:hAnsi="Arial"/>
                <w:b/>
                <w:bCs/>
                <w:color w:val="FFFFFF"/>
                <w:sz w:val="18"/>
                <w:szCs w:val="18"/>
                <w:rtl/>
              </w:rPr>
              <w:t>المصطلح</w:t>
            </w:r>
          </w:p>
        </w:tc>
        <w:tc>
          <w:tcPr>
            <w:tcW w:w="6760" w:type="dxa"/>
            <w:tcBorders>
              <w:top w:val="single" w:sz="2" w:space="0" w:color="BFC9C0"/>
              <w:left w:val="single" w:sz="2" w:space="0" w:color="BFC9C0"/>
              <w:bottom w:val="single" w:sz="2" w:space="0" w:color="BFC9C0"/>
              <w:right w:val="single" w:sz="2" w:space="0" w:color="BFC9C0"/>
            </w:tcBorders>
            <w:shd w:val="clear" w:color="auto" w:fill="0E5A50"/>
          </w:tcPr>
          <w:p w14:paraId="077383E5" w14:textId="77777777" w:rsidR="00CD5946" w:rsidRDefault="00000000">
            <w:pPr>
              <w:spacing w:after="0"/>
            </w:pPr>
            <w:r>
              <w:rPr>
                <w:rFonts w:ascii="Arial" w:eastAsia="Arial" w:hAnsi="Arial"/>
                <w:b/>
                <w:bCs/>
                <w:color w:val="FFFFFF"/>
                <w:sz w:val="18"/>
                <w:szCs w:val="18"/>
              </w:rPr>
              <w:t xml:space="preserve">Definition / </w:t>
            </w:r>
            <w:r>
              <w:rPr>
                <w:rFonts w:ascii="Arial" w:eastAsia="Arial" w:hAnsi="Arial"/>
                <w:b/>
                <w:bCs/>
                <w:color w:val="FFFFFF"/>
                <w:sz w:val="18"/>
                <w:szCs w:val="18"/>
                <w:rtl/>
              </w:rPr>
              <w:t>التعريف</w:t>
            </w:r>
          </w:p>
        </w:tc>
      </w:tr>
      <w:tr w:rsidR="00CD5946" w14:paraId="7270FF60"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51A97E68" w14:textId="77777777" w:rsidR="00CD5946" w:rsidRDefault="00000000">
            <w:pPr>
              <w:spacing w:after="0"/>
            </w:pPr>
            <w:r>
              <w:rPr>
                <w:rFonts w:ascii="Arial" w:eastAsia="Arial" w:hAnsi="Arial"/>
                <w:b/>
                <w:bCs/>
                <w:color w:val="15512F"/>
                <w:sz w:val="18"/>
                <w:szCs w:val="18"/>
              </w:rPr>
              <w:t>Change control</w:t>
            </w:r>
          </w:p>
        </w:tc>
        <w:tc>
          <w:tcPr>
            <w:tcW w:w="6760" w:type="dxa"/>
            <w:tcBorders>
              <w:top w:val="single" w:sz="2" w:space="0" w:color="BFC9C0"/>
              <w:left w:val="single" w:sz="2" w:space="0" w:color="BFC9C0"/>
              <w:bottom w:val="single" w:sz="2" w:space="0" w:color="BFC9C0"/>
              <w:right w:val="single" w:sz="2" w:space="0" w:color="BFC9C0"/>
            </w:tcBorders>
            <w:shd w:val="clear" w:color="auto" w:fill="FFFFFF"/>
          </w:tcPr>
          <w:p w14:paraId="6E634C3F" w14:textId="77777777" w:rsidR="00CD5946" w:rsidRDefault="00000000">
            <w:pPr>
              <w:spacing w:after="0"/>
            </w:pPr>
            <w:r>
              <w:rPr>
                <w:rFonts w:ascii="Arial" w:eastAsia="Arial" w:hAnsi="Arial"/>
                <w:color w:val="1A1A1A"/>
                <w:sz w:val="18"/>
                <w:szCs w:val="18"/>
              </w:rPr>
              <w:t xml:space="preserve">A formal system by which qualified representatives review proposed or actual changes that might affect the validated status of facilities, systems, equipment or processes, to determine and document the action needed to maintain the validated state. / </w:t>
            </w:r>
            <w:r>
              <w:rPr>
                <w:rFonts w:ascii="Arial" w:eastAsia="Arial" w:hAnsi="Arial"/>
                <w:color w:val="1A1A1A"/>
                <w:sz w:val="18"/>
                <w:szCs w:val="18"/>
                <w:rtl/>
              </w:rPr>
              <w:t>نظام رسمي لمراجعة التغييرات للحفاظ على حالة التحقّق</w:t>
            </w:r>
            <w:r>
              <w:rPr>
                <w:rFonts w:ascii="Arial" w:eastAsia="Arial" w:hAnsi="Arial"/>
                <w:color w:val="1A1A1A"/>
                <w:sz w:val="18"/>
                <w:szCs w:val="18"/>
              </w:rPr>
              <w:t>.</w:t>
            </w:r>
          </w:p>
        </w:tc>
      </w:tr>
      <w:tr w:rsidR="00CD5946" w14:paraId="6706FFE3" w14:textId="77777777">
        <w:tc>
          <w:tcPr>
            <w:tcW w:w="2600" w:type="dxa"/>
            <w:tcBorders>
              <w:top w:val="single" w:sz="2" w:space="0" w:color="BFC9C0"/>
              <w:left w:val="single" w:sz="2" w:space="0" w:color="BFC9C0"/>
              <w:bottom w:val="single" w:sz="2" w:space="0" w:color="BFC9C0"/>
              <w:right w:val="single" w:sz="2" w:space="0" w:color="BFC9C0"/>
            </w:tcBorders>
            <w:shd w:val="clear" w:color="auto" w:fill="EEF3F1"/>
          </w:tcPr>
          <w:p w14:paraId="7401F4B1" w14:textId="77777777" w:rsidR="00CD5946" w:rsidRDefault="00000000">
            <w:pPr>
              <w:spacing w:after="0"/>
            </w:pPr>
            <w:r>
              <w:rPr>
                <w:rFonts w:ascii="Arial" w:eastAsia="Arial" w:hAnsi="Arial"/>
                <w:b/>
                <w:bCs/>
                <w:color w:val="15512F"/>
                <w:sz w:val="18"/>
                <w:szCs w:val="18"/>
              </w:rPr>
              <w:t>CPV</w:t>
            </w:r>
          </w:p>
        </w:tc>
        <w:tc>
          <w:tcPr>
            <w:tcW w:w="6760" w:type="dxa"/>
            <w:tcBorders>
              <w:top w:val="single" w:sz="2" w:space="0" w:color="BFC9C0"/>
              <w:left w:val="single" w:sz="2" w:space="0" w:color="BFC9C0"/>
              <w:bottom w:val="single" w:sz="2" w:space="0" w:color="BFC9C0"/>
              <w:right w:val="single" w:sz="2" w:space="0" w:color="BFC9C0"/>
            </w:tcBorders>
            <w:shd w:val="clear" w:color="auto" w:fill="EEF3F1"/>
          </w:tcPr>
          <w:p w14:paraId="0A151D05" w14:textId="77777777" w:rsidR="00CD5946" w:rsidRDefault="00000000">
            <w:pPr>
              <w:spacing w:after="0"/>
            </w:pPr>
            <w:r>
              <w:rPr>
                <w:rFonts w:ascii="Arial" w:eastAsia="Arial" w:hAnsi="Arial"/>
                <w:color w:val="1A1A1A"/>
                <w:sz w:val="18"/>
                <w:szCs w:val="18"/>
              </w:rPr>
              <w:t xml:space="preserve">Continuous Process Verification: an alternative to traditional process validation in which manufacturing-process performance is continuously monitored and evaluated. / </w:t>
            </w:r>
            <w:r>
              <w:rPr>
                <w:rFonts w:ascii="Arial" w:eastAsia="Arial" w:hAnsi="Arial"/>
                <w:color w:val="1A1A1A"/>
                <w:sz w:val="18"/>
                <w:szCs w:val="18"/>
                <w:rtl/>
              </w:rPr>
              <w:t>التحقّق المستمر من أداء العملية كبديل للتحقّق التقليدي</w:t>
            </w:r>
            <w:r>
              <w:rPr>
                <w:rFonts w:ascii="Arial" w:eastAsia="Arial" w:hAnsi="Arial"/>
                <w:color w:val="1A1A1A"/>
                <w:sz w:val="18"/>
                <w:szCs w:val="18"/>
              </w:rPr>
              <w:t>.</w:t>
            </w:r>
          </w:p>
        </w:tc>
      </w:tr>
      <w:tr w:rsidR="00CD5946" w14:paraId="628ACACC"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129394B7" w14:textId="77777777" w:rsidR="00CD5946" w:rsidRDefault="00000000">
            <w:pPr>
              <w:spacing w:after="0"/>
            </w:pPr>
            <w:r>
              <w:rPr>
                <w:rFonts w:ascii="Arial" w:eastAsia="Arial" w:hAnsi="Arial"/>
                <w:b/>
                <w:bCs/>
                <w:color w:val="15512F"/>
                <w:sz w:val="18"/>
                <w:szCs w:val="18"/>
              </w:rPr>
              <w:t>DQ / IQ / OQ / PQ</w:t>
            </w:r>
          </w:p>
        </w:tc>
        <w:tc>
          <w:tcPr>
            <w:tcW w:w="6760" w:type="dxa"/>
            <w:tcBorders>
              <w:top w:val="single" w:sz="2" w:space="0" w:color="BFC9C0"/>
              <w:left w:val="single" w:sz="2" w:space="0" w:color="BFC9C0"/>
              <w:bottom w:val="single" w:sz="2" w:space="0" w:color="BFC9C0"/>
              <w:right w:val="single" w:sz="2" w:space="0" w:color="BFC9C0"/>
            </w:tcBorders>
            <w:shd w:val="clear" w:color="auto" w:fill="FFFFFF"/>
          </w:tcPr>
          <w:p w14:paraId="42BCDD83" w14:textId="77777777" w:rsidR="00CD5946" w:rsidRDefault="00000000">
            <w:pPr>
              <w:spacing w:after="0"/>
            </w:pPr>
            <w:r>
              <w:rPr>
                <w:rFonts w:ascii="Arial" w:eastAsia="Arial" w:hAnsi="Arial"/>
                <w:color w:val="1A1A1A"/>
                <w:sz w:val="18"/>
                <w:szCs w:val="18"/>
              </w:rPr>
              <w:t xml:space="preserve">Design / Installation / Operational / Performance Qualification — the documented stages confirming that design, installation, operation and performance meet pre-defined requirements. / </w:t>
            </w:r>
            <w:r>
              <w:rPr>
                <w:rFonts w:ascii="Arial" w:eastAsia="Arial" w:hAnsi="Arial"/>
                <w:color w:val="1A1A1A"/>
                <w:sz w:val="18"/>
                <w:szCs w:val="18"/>
                <w:rtl/>
              </w:rPr>
              <w:t>مراحل تأهيل التصميم والتركيب والتشغيل والأداء</w:t>
            </w:r>
            <w:r>
              <w:rPr>
                <w:rFonts w:ascii="Arial" w:eastAsia="Arial" w:hAnsi="Arial"/>
                <w:color w:val="1A1A1A"/>
                <w:sz w:val="18"/>
                <w:szCs w:val="18"/>
              </w:rPr>
              <w:t>.</w:t>
            </w:r>
          </w:p>
        </w:tc>
      </w:tr>
      <w:tr w:rsidR="00CD5946" w14:paraId="5359A2FC" w14:textId="77777777">
        <w:tc>
          <w:tcPr>
            <w:tcW w:w="2600" w:type="dxa"/>
            <w:tcBorders>
              <w:top w:val="single" w:sz="2" w:space="0" w:color="BFC9C0"/>
              <w:left w:val="single" w:sz="2" w:space="0" w:color="BFC9C0"/>
              <w:bottom w:val="single" w:sz="2" w:space="0" w:color="BFC9C0"/>
              <w:right w:val="single" w:sz="2" w:space="0" w:color="BFC9C0"/>
            </w:tcBorders>
            <w:shd w:val="clear" w:color="auto" w:fill="EEF3F1"/>
          </w:tcPr>
          <w:p w14:paraId="0192D6A5" w14:textId="77777777" w:rsidR="00CD5946" w:rsidRDefault="00000000">
            <w:pPr>
              <w:spacing w:after="0"/>
            </w:pPr>
            <w:r>
              <w:rPr>
                <w:rFonts w:ascii="Arial" w:eastAsia="Arial" w:hAnsi="Arial"/>
                <w:b/>
                <w:bCs/>
                <w:color w:val="15512F"/>
                <w:sz w:val="18"/>
                <w:szCs w:val="18"/>
              </w:rPr>
              <w:t>HBEL / PDE</w:t>
            </w:r>
          </w:p>
        </w:tc>
        <w:tc>
          <w:tcPr>
            <w:tcW w:w="6760" w:type="dxa"/>
            <w:tcBorders>
              <w:top w:val="single" w:sz="2" w:space="0" w:color="BFC9C0"/>
              <w:left w:val="single" w:sz="2" w:space="0" w:color="BFC9C0"/>
              <w:bottom w:val="single" w:sz="2" w:space="0" w:color="BFC9C0"/>
              <w:right w:val="single" w:sz="2" w:space="0" w:color="BFC9C0"/>
            </w:tcBorders>
            <w:shd w:val="clear" w:color="auto" w:fill="EEF3F1"/>
          </w:tcPr>
          <w:p w14:paraId="794125F2" w14:textId="77777777" w:rsidR="00CD5946" w:rsidRDefault="00000000">
            <w:pPr>
              <w:spacing w:after="0"/>
            </w:pPr>
            <w:r>
              <w:rPr>
                <w:rFonts w:ascii="Arial" w:eastAsia="Arial" w:hAnsi="Arial"/>
                <w:color w:val="1A1A1A"/>
                <w:sz w:val="18"/>
                <w:szCs w:val="18"/>
              </w:rPr>
              <w:t xml:space="preserve">Health-Based Exposure Limit / Permitted Daily Exposure — a substance-specific limit derived from toxicological evaluation, used to set safe carry-over limits. / </w:t>
            </w:r>
            <w:r>
              <w:rPr>
                <w:rFonts w:ascii="Arial" w:eastAsia="Arial" w:hAnsi="Arial"/>
                <w:color w:val="1A1A1A"/>
                <w:sz w:val="18"/>
                <w:szCs w:val="18"/>
                <w:rtl/>
              </w:rPr>
              <w:t>حدّ تعرّض قائم على الصحّة / التعرّض اليومي المسموح</w:t>
            </w:r>
            <w:r>
              <w:rPr>
                <w:rFonts w:ascii="Arial" w:eastAsia="Arial" w:hAnsi="Arial"/>
                <w:color w:val="1A1A1A"/>
                <w:sz w:val="18"/>
                <w:szCs w:val="18"/>
              </w:rPr>
              <w:t>.</w:t>
            </w:r>
          </w:p>
        </w:tc>
      </w:tr>
      <w:tr w:rsidR="00CD5946" w14:paraId="62A5812B"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30CE7C7B" w14:textId="77777777" w:rsidR="00CD5946" w:rsidRDefault="00000000">
            <w:pPr>
              <w:spacing w:after="0"/>
            </w:pPr>
            <w:r>
              <w:rPr>
                <w:rFonts w:ascii="Arial" w:eastAsia="Arial" w:hAnsi="Arial"/>
                <w:b/>
                <w:bCs/>
                <w:color w:val="15512F"/>
                <w:sz w:val="18"/>
                <w:szCs w:val="18"/>
              </w:rPr>
              <w:lastRenderedPageBreak/>
              <w:t>MACO</w:t>
            </w:r>
          </w:p>
        </w:tc>
        <w:tc>
          <w:tcPr>
            <w:tcW w:w="6760" w:type="dxa"/>
            <w:tcBorders>
              <w:top w:val="single" w:sz="2" w:space="0" w:color="BFC9C0"/>
              <w:left w:val="single" w:sz="2" w:space="0" w:color="BFC9C0"/>
              <w:bottom w:val="single" w:sz="2" w:space="0" w:color="BFC9C0"/>
              <w:right w:val="single" w:sz="2" w:space="0" w:color="BFC9C0"/>
            </w:tcBorders>
            <w:shd w:val="clear" w:color="auto" w:fill="FFFFFF"/>
          </w:tcPr>
          <w:p w14:paraId="7C8A59D7" w14:textId="77777777" w:rsidR="00CD5946" w:rsidRDefault="00000000">
            <w:pPr>
              <w:spacing w:after="0"/>
            </w:pPr>
            <w:r>
              <w:rPr>
                <w:rFonts w:ascii="Arial" w:eastAsia="Arial" w:hAnsi="Arial"/>
                <w:color w:val="1A1A1A"/>
                <w:sz w:val="18"/>
                <w:szCs w:val="18"/>
              </w:rPr>
              <w:t xml:space="preserve">Maximum Allowable Carry-Over: the amount of a residue permitted to carry over into the next product, derived from the HBEL/PDE. / </w:t>
            </w:r>
            <w:r>
              <w:rPr>
                <w:rFonts w:ascii="Arial" w:eastAsia="Arial" w:hAnsi="Arial"/>
                <w:color w:val="1A1A1A"/>
                <w:sz w:val="18"/>
                <w:szCs w:val="18"/>
                <w:rtl/>
              </w:rPr>
              <w:t>أقصى انتقال مسموح من بقايا إلى المنتج التالي</w:t>
            </w:r>
            <w:r>
              <w:rPr>
                <w:rFonts w:ascii="Arial" w:eastAsia="Arial" w:hAnsi="Arial"/>
                <w:color w:val="1A1A1A"/>
                <w:sz w:val="18"/>
                <w:szCs w:val="18"/>
              </w:rPr>
              <w:t>.</w:t>
            </w:r>
          </w:p>
        </w:tc>
      </w:tr>
      <w:tr w:rsidR="00CD5946" w14:paraId="1DE75F31" w14:textId="77777777">
        <w:tc>
          <w:tcPr>
            <w:tcW w:w="2600" w:type="dxa"/>
            <w:tcBorders>
              <w:top w:val="single" w:sz="2" w:space="0" w:color="BFC9C0"/>
              <w:left w:val="single" w:sz="2" w:space="0" w:color="BFC9C0"/>
              <w:bottom w:val="single" w:sz="2" w:space="0" w:color="BFC9C0"/>
              <w:right w:val="single" w:sz="2" w:space="0" w:color="BFC9C0"/>
            </w:tcBorders>
            <w:shd w:val="clear" w:color="auto" w:fill="EEF3F1"/>
          </w:tcPr>
          <w:p w14:paraId="02593667" w14:textId="77777777" w:rsidR="00CD5946" w:rsidRDefault="00000000">
            <w:pPr>
              <w:spacing w:after="0"/>
            </w:pPr>
            <w:r>
              <w:rPr>
                <w:rFonts w:ascii="Arial" w:eastAsia="Arial" w:hAnsi="Arial"/>
                <w:b/>
                <w:bCs/>
                <w:color w:val="15512F"/>
                <w:sz w:val="18"/>
                <w:szCs w:val="18"/>
              </w:rPr>
              <w:t>VMP</w:t>
            </w:r>
          </w:p>
        </w:tc>
        <w:tc>
          <w:tcPr>
            <w:tcW w:w="6760" w:type="dxa"/>
            <w:tcBorders>
              <w:top w:val="single" w:sz="2" w:space="0" w:color="BFC9C0"/>
              <w:left w:val="single" w:sz="2" w:space="0" w:color="BFC9C0"/>
              <w:bottom w:val="single" w:sz="2" w:space="0" w:color="BFC9C0"/>
              <w:right w:val="single" w:sz="2" w:space="0" w:color="BFC9C0"/>
            </w:tcBorders>
            <w:shd w:val="clear" w:color="auto" w:fill="EEF3F1"/>
          </w:tcPr>
          <w:p w14:paraId="3388B07C" w14:textId="77777777" w:rsidR="00CD5946" w:rsidRDefault="00000000">
            <w:pPr>
              <w:spacing w:after="0"/>
            </w:pPr>
            <w:r>
              <w:rPr>
                <w:rFonts w:ascii="Arial" w:eastAsia="Arial" w:hAnsi="Arial"/>
                <w:color w:val="1A1A1A"/>
                <w:sz w:val="18"/>
                <w:szCs w:val="18"/>
              </w:rPr>
              <w:t xml:space="preserve">Validation Master Plan: a high-level document establishing an umbrella validation plan for the whole project and summarising the manufacturer’s overall philosophy and approach. / </w:t>
            </w:r>
            <w:r>
              <w:rPr>
                <w:rFonts w:ascii="Arial" w:eastAsia="Arial" w:hAnsi="Arial"/>
                <w:color w:val="1A1A1A"/>
                <w:sz w:val="18"/>
                <w:szCs w:val="18"/>
                <w:rtl/>
              </w:rPr>
              <w:t>خطة التحقّق الرئيسية الجامعة للمشروع</w:t>
            </w:r>
            <w:r>
              <w:rPr>
                <w:rFonts w:ascii="Arial" w:eastAsia="Arial" w:hAnsi="Arial"/>
                <w:color w:val="1A1A1A"/>
                <w:sz w:val="18"/>
                <w:szCs w:val="18"/>
              </w:rPr>
              <w:t>.</w:t>
            </w:r>
          </w:p>
        </w:tc>
      </w:tr>
      <w:tr w:rsidR="00CD5946" w14:paraId="528EAB47"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503B929F" w14:textId="77777777" w:rsidR="00CD5946" w:rsidRDefault="00000000">
            <w:pPr>
              <w:spacing w:after="0"/>
            </w:pPr>
            <w:r>
              <w:rPr>
                <w:rFonts w:ascii="Arial" w:eastAsia="Arial" w:hAnsi="Arial"/>
                <w:b/>
                <w:bCs/>
                <w:color w:val="15512F"/>
                <w:sz w:val="18"/>
                <w:szCs w:val="18"/>
              </w:rPr>
              <w:t>URS</w:t>
            </w:r>
          </w:p>
        </w:tc>
        <w:tc>
          <w:tcPr>
            <w:tcW w:w="6760" w:type="dxa"/>
            <w:tcBorders>
              <w:top w:val="single" w:sz="2" w:space="0" w:color="BFC9C0"/>
              <w:left w:val="single" w:sz="2" w:space="0" w:color="BFC9C0"/>
              <w:bottom w:val="single" w:sz="2" w:space="0" w:color="BFC9C0"/>
              <w:right w:val="single" w:sz="2" w:space="0" w:color="BFC9C0"/>
            </w:tcBorders>
            <w:shd w:val="clear" w:color="auto" w:fill="FFFFFF"/>
          </w:tcPr>
          <w:p w14:paraId="1874C3F7" w14:textId="77777777" w:rsidR="00CD5946" w:rsidRDefault="00000000">
            <w:pPr>
              <w:spacing w:after="0"/>
            </w:pPr>
            <w:r>
              <w:rPr>
                <w:rFonts w:ascii="Arial" w:eastAsia="Arial" w:hAnsi="Arial"/>
                <w:color w:val="1A1A1A"/>
                <w:sz w:val="18"/>
                <w:szCs w:val="18"/>
              </w:rPr>
              <w:t xml:space="preserve">User Requirements Specification: the set of owner/user requirements that an item must meet, used as a reference throughout the validation lifecycle. / </w:t>
            </w:r>
            <w:r>
              <w:rPr>
                <w:rFonts w:ascii="Arial" w:eastAsia="Arial" w:hAnsi="Arial"/>
                <w:color w:val="1A1A1A"/>
                <w:sz w:val="18"/>
                <w:szCs w:val="18"/>
                <w:rtl/>
              </w:rPr>
              <w:t>مواصفات احتياجات المستخدم المرجعية</w:t>
            </w:r>
            <w:r>
              <w:rPr>
                <w:rFonts w:ascii="Arial" w:eastAsia="Arial" w:hAnsi="Arial"/>
                <w:color w:val="1A1A1A"/>
                <w:sz w:val="18"/>
                <w:szCs w:val="18"/>
              </w:rPr>
              <w:t>.</w:t>
            </w:r>
          </w:p>
        </w:tc>
      </w:tr>
    </w:tbl>
    <w:p w14:paraId="464DA6BF" w14:textId="77777777" w:rsidR="00CD5946" w:rsidRDefault="00000000">
      <w:pPr>
        <w:spacing w:before="260" w:after="0"/>
        <w:jc w:val="center"/>
      </w:pPr>
      <w:r>
        <w:rPr>
          <w:noProof/>
        </w:rPr>
        <w:drawing>
          <wp:inline distT="0" distB="0" distL="0" distR="0" wp14:anchorId="0386F745" wp14:editId="6BC8C072">
            <wp:extent cx="876300" cy="1238250"/>
            <wp:effectExtent l="0" t="0" r="0" b="0"/>
            <wp:docPr id="15" name="Image14"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4"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2C02D311" w14:textId="77777777" w:rsidR="00CD5946" w:rsidRDefault="00000000">
      <w:pPr>
        <w:spacing w:before="50" w:after="0"/>
        <w:jc w:val="center"/>
      </w:pPr>
      <w:r>
        <w:rPr>
          <w:rFonts w:ascii="Arial" w:eastAsia="Arial" w:hAnsi="Arial"/>
          <w:b/>
          <w:bCs/>
          <w:color w:val="15512F"/>
          <w:sz w:val="19"/>
          <w:szCs w:val="19"/>
        </w:rPr>
        <w:t>AUPAM EXPERTS' OFFICE</w:t>
      </w:r>
    </w:p>
    <w:p w14:paraId="0367F950"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46D42623" w14:textId="77777777" w:rsidR="00CD5946" w:rsidRDefault="00000000">
      <w:pPr>
        <w:spacing w:before="10" w:after="0"/>
        <w:jc w:val="center"/>
      </w:pPr>
      <w:r>
        <w:rPr>
          <w:rFonts w:ascii="Arial" w:eastAsia="Arial" w:hAnsi="Arial"/>
          <w:b/>
          <w:bCs/>
          <w:color w:val="B08C37"/>
          <w:sz w:val="24"/>
          <w:szCs w:val="24"/>
        </w:rPr>
        <w:t>2026 EDITION</w:t>
      </w:r>
    </w:p>
    <w:p w14:paraId="53C7EFC5" w14:textId="77777777" w:rsidR="00CD5946" w:rsidRDefault="00000000">
      <w:pPr>
        <w:spacing w:before="260" w:after="0"/>
        <w:jc w:val="center"/>
      </w:pPr>
      <w:r>
        <w:rPr>
          <w:rFonts w:ascii="Arial" w:eastAsia="Arial" w:hAnsi="Arial"/>
          <w:b/>
          <w:bCs/>
          <w:color w:val="15512F"/>
          <w:sz w:val="54"/>
          <w:szCs w:val="54"/>
        </w:rPr>
        <w:t>ANNEX 16</w:t>
      </w:r>
    </w:p>
    <w:p w14:paraId="3846375A" w14:textId="77777777" w:rsidR="00CD5946" w:rsidRDefault="00000000">
      <w:pPr>
        <w:spacing w:before="40" w:after="0"/>
        <w:jc w:val="center"/>
      </w:pPr>
      <w:r>
        <w:rPr>
          <w:rFonts w:ascii="Arial" w:eastAsia="Arial" w:hAnsi="Arial"/>
          <w:b/>
          <w:bCs/>
          <w:color w:val="1A1A1A"/>
          <w:sz w:val="28"/>
          <w:szCs w:val="28"/>
        </w:rPr>
        <w:t>Certification by an Authorised/Qualified Person &amp; Batch Release</w:t>
      </w:r>
    </w:p>
    <w:p w14:paraId="78C648EA" w14:textId="77777777" w:rsidR="00CD5946" w:rsidRDefault="00000000">
      <w:pPr>
        <w:spacing w:before="16" w:after="0"/>
        <w:jc w:val="center"/>
      </w:pPr>
      <w:r>
        <w:rPr>
          <w:rFonts w:ascii="Arial" w:eastAsia="Arial" w:hAnsi="Arial"/>
          <w:color w:val="5A5A5A"/>
          <w:sz w:val="22"/>
          <w:szCs w:val="22"/>
        </w:rPr>
        <w:t>Sections 1 – 6 · EN | AR · with reliance</w:t>
      </w:r>
    </w:p>
    <w:p w14:paraId="69E83550" w14:textId="77777777" w:rsidR="00CD5946" w:rsidRDefault="00000000">
      <w:pPr>
        <w:spacing w:before="26" w:after="0"/>
        <w:jc w:val="center"/>
      </w:pPr>
      <w:r>
        <w:rPr>
          <w:rFonts w:ascii="Arial" w:eastAsia="Arial" w:hAnsi="Arial"/>
          <w:b/>
          <w:bCs/>
          <w:color w:val="15512F"/>
          <w:sz w:val="22"/>
          <w:szCs w:val="22"/>
          <w:rtl/>
        </w:rPr>
        <w:t>الملحق ⁦</w:t>
      </w:r>
      <w:r>
        <w:rPr>
          <w:rFonts w:ascii="Arial" w:eastAsia="Arial" w:hAnsi="Arial"/>
          <w:b/>
          <w:bCs/>
          <w:color w:val="15512F"/>
          <w:sz w:val="22"/>
          <w:szCs w:val="22"/>
        </w:rPr>
        <w:t>16 —</w:t>
      </w:r>
      <w:r>
        <w:rPr>
          <w:rFonts w:ascii="Arial" w:eastAsia="Arial" w:hAnsi="Arial"/>
          <w:b/>
          <w:bCs/>
          <w:color w:val="15512F"/>
          <w:sz w:val="22"/>
          <w:szCs w:val="22"/>
          <w:rtl/>
        </w:rPr>
        <w:t>⁩ الاعتماد والإفراج عن الدفعة</w:t>
      </w:r>
    </w:p>
    <w:p w14:paraId="0C522518"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4665B3D4" w14:textId="77777777" w:rsidR="00CD5946" w:rsidRDefault="00000000">
      <w:r>
        <w:br w:type="page"/>
      </w:r>
    </w:p>
    <w:p w14:paraId="46B0A900" w14:textId="77777777" w:rsidR="00CD5946" w:rsidRDefault="00000000">
      <w:pPr>
        <w:pStyle w:val="Heading1"/>
        <w:spacing w:before="0"/>
      </w:pPr>
      <w:bookmarkStart w:id="215" w:name="__RefHeading___Toc9587_1729075678"/>
      <w:bookmarkEnd w:id="215"/>
      <w:r>
        <w:lastRenderedPageBreak/>
        <w:t>Contents</w:t>
      </w:r>
    </w:p>
    <w:sdt>
      <w:sdtPr>
        <w:id w:val="1787697703"/>
        <w:docPartObj>
          <w:docPartGallery w:val="Table of Contents"/>
          <w:docPartUnique/>
        </w:docPartObj>
      </w:sdtPr>
      <w:sdtContent>
        <w:p w14:paraId="02504ECE"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5DEBD43B"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3B39B966"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308A3FFE"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42C5C71E"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3874AD8E"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6F32EA63"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0F56D4F3"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113420DB"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17DD3C57"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1D6093B9"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1D0FE9F0"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068E6BD7"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20CBCDCE"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45A3223D"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1E65662A"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330D113B"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175AD236"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123F29ED"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1C382771"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314DD253"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118A7D71"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08FB0FE0"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229CC437"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73204287"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37A51900"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53BCD477"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0E2FAD4E"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5618352B"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79BC966C"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52E3AB56"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0330F70F"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0882B4BF"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195CC302"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16B1D001"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3E856801"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1EF3C1F3"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08643F54"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08DE27E6"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4DAD66BD"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104B45BE"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32BF3EC6"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6DD806F9"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13905E85"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2486C2B3"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60E81136"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41E929B2"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28F16CC7"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50E6E356"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44AC3A4D"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1E457092"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68FC4749"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3147A8D7"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25251A79"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1B7549AF"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7D987B1D"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5DB7FEBF"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76B4BEEC"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0F0D6643"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1018DC01"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24BCC6AA"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791E395A"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178B2A7C"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50E98307"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29549549"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2CEFE105"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09984BF2"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32A62F33"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2C6D786B"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7EB15FE2"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75B85816"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3C182EEA"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06CCA8A5"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746E690D" w14:textId="77777777" w:rsidR="00CD5946" w:rsidRDefault="00CD5946"/>
    <w:p w14:paraId="4AC110E2" w14:textId="77777777" w:rsidR="00CD5946" w:rsidRDefault="00000000">
      <w:pPr>
        <w:pStyle w:val="Heading1"/>
      </w:pPr>
      <w:bookmarkStart w:id="216" w:name="__RefHeading___Toc9589_1729075678"/>
      <w:bookmarkEnd w:id="216"/>
      <w:r>
        <w:t xml:space="preserve">Annex 16 — Certification by an Authorised/Qualified Person and Batch Release  ·  </w:t>
      </w:r>
      <w:r>
        <w:rPr>
          <w:rtl/>
        </w:rPr>
        <w:t xml:space="preserve">الملحق </w:t>
      </w:r>
      <w:r>
        <w:t>16</w:t>
      </w:r>
      <w:r>
        <w:rPr>
          <w:rtl/>
        </w:rPr>
        <w:t xml:space="preserve"> — الاعتماد من الشخص المؤهّل والإفراج عن الدفعة</w:t>
      </w:r>
    </w:p>
    <w:p w14:paraId="6BB17D00" w14:textId="77777777" w:rsidR="00CD5946" w:rsidRDefault="00000000">
      <w:pPr>
        <w:spacing w:before="10" w:after="150"/>
      </w:pPr>
      <w:r>
        <w:rPr>
          <w:rFonts w:ascii="Arial" w:eastAsia="Arial" w:hAnsi="Arial"/>
          <w:b/>
          <w:bCs/>
          <w:color w:val="C8A24B"/>
          <w:sz w:val="17"/>
          <w:szCs w:val="17"/>
        </w:rPr>
        <w:t xml:space="preserve">Harmonised with: </w:t>
      </w:r>
      <w:r>
        <w:rPr>
          <w:rFonts w:ascii="Arial" w:eastAsia="Arial" w:hAnsi="Arial"/>
          <w:i/>
          <w:iCs/>
          <w:color w:val="5A5A5A"/>
          <w:sz w:val="17"/>
          <w:szCs w:val="17"/>
        </w:rPr>
        <w:t>EU GMP Annex 16 (2016) · SFDA GMP Guide v4.4 · PIC/S PE 009-17 Annex 16 · WHO TRS guidance on batch release · ICH Q9(R1), Q10 · (reliance) WHO Good Reliance Practices, TRS 1033 Annex 10</w:t>
      </w:r>
    </w:p>
    <w:p w14:paraId="13154D1B" w14:textId="77777777" w:rsidR="00CD5946" w:rsidRDefault="00000000">
      <w:pPr>
        <w:pBdr>
          <w:left w:val="single" w:sz="16" w:space="8" w:color="C8A24B"/>
        </w:pBdr>
        <w:spacing w:after="40"/>
        <w:ind w:left="160"/>
      </w:pPr>
      <w:r>
        <w:rPr>
          <w:rFonts w:ascii="Arial" w:eastAsia="Arial" w:hAnsi="Arial"/>
          <w:b/>
          <w:bCs/>
          <w:color w:val="C8A24B"/>
        </w:rPr>
        <w:t xml:space="preserve">Principle.  </w:t>
      </w:r>
      <w:r>
        <w:rPr>
          <w:rFonts w:ascii="Arial" w:eastAsia="Arial" w:hAnsi="Arial"/>
          <w:color w:val="1A1A1A"/>
        </w:rPr>
        <w:t>Each batch of finished product shall be certified by an Authorised/Qualified Person (AP/QP) within the Arab region before being released for sale or supply, or for export. The AP/QP shall personally ensure, and attest by certification, that each batch has been manufactured and checked in compliance with the requirements of the marketing authorisation, the applicable GMP, and any additional national requirements. The certification process and the responsibilities of the AP/QP shall be defined in the pharmaceutical quality system. Reliance on Good Manufacturing Practice assessments and batch-control performed by trusted authorities or institutions may be used to avoid unnecessary duplication, provided the supply chain and the responsibilities are clearly defined and documented.</w:t>
      </w:r>
    </w:p>
    <w:p w14:paraId="333BD210" w14:textId="77777777" w:rsidR="00CD5946" w:rsidRDefault="00000000">
      <w:pPr>
        <w:bidi/>
        <w:spacing w:after="150"/>
        <w:ind w:right="160"/>
        <w:jc w:val="right"/>
      </w:pPr>
      <w:r>
        <w:rPr>
          <w:rFonts w:ascii="Arial" w:eastAsia="Arial" w:hAnsi="Arial"/>
          <w:b/>
          <w:bCs/>
          <w:color w:val="C8A24B"/>
          <w:sz w:val="20"/>
          <w:szCs w:val="20"/>
          <w:rtl/>
        </w:rPr>
        <w:t xml:space="preserve">المبدأ. </w:t>
      </w:r>
      <w:r>
        <w:rPr>
          <w:rFonts w:ascii="Arial" w:eastAsia="Arial" w:hAnsi="Arial"/>
          <w:color w:val="333333"/>
          <w:sz w:val="20"/>
          <w:szCs w:val="20"/>
          <w:rtl/>
        </w:rPr>
        <w:t>يجب اعتماد كل دفعة من المنتج النهائي من شخص مؤهّل (</w:t>
      </w:r>
      <w:r>
        <w:rPr>
          <w:rFonts w:ascii="Arial" w:eastAsia="Arial" w:hAnsi="Arial"/>
          <w:color w:val="333333"/>
          <w:sz w:val="20"/>
          <w:szCs w:val="20"/>
        </w:rPr>
        <w:t>AP/QP</w:t>
      </w:r>
      <w:r>
        <w:rPr>
          <w:rFonts w:ascii="Arial" w:eastAsia="Arial" w:hAnsi="Arial"/>
          <w:color w:val="333333"/>
          <w:sz w:val="20"/>
          <w:szCs w:val="20"/>
          <w:rtl/>
        </w:rPr>
        <w:t xml:space="preserve">) داخل المنطقة العربية قبل الإفراج عنها للبيع أو التوريد أو التصدير. ويضمن الشخص المؤهّل شخصيّاً ويشهد بالاعتماد أنّ كل دفعة صُنّعت وفُحصت وفق متطلبات ترخيص التسويق والممارسات الجيدة والمتطلبات الوطنية. وتُحدّد عملية الاعتماد ومسؤوليات الشخص المؤهّل في نظام الجودة. ويجوز الاعتماد على تقييمات </w:t>
      </w:r>
      <w:r>
        <w:rPr>
          <w:rFonts w:ascii="Arial" w:eastAsia="Arial" w:hAnsi="Arial"/>
          <w:color w:val="333333"/>
          <w:sz w:val="20"/>
          <w:szCs w:val="20"/>
        </w:rPr>
        <w:t>GMP</w:t>
      </w:r>
      <w:r>
        <w:rPr>
          <w:rFonts w:ascii="Arial" w:eastAsia="Arial" w:hAnsi="Arial"/>
          <w:color w:val="333333"/>
          <w:sz w:val="20"/>
          <w:szCs w:val="20"/>
          <w:rtl/>
        </w:rPr>
        <w:t xml:space="preserve"> وضبط الدفعات من جهات موثوقة لتجنّب الازدواجية، شريطة تعريف سلسلة التوريد والمسؤوليات بوضوح وتوثيقها.</w:t>
      </w:r>
    </w:p>
    <w:p w14:paraId="18F66DB5" w14:textId="77777777" w:rsidR="00CD5946" w:rsidRDefault="00000000">
      <w:pPr>
        <w:pStyle w:val="Heading2"/>
        <w:spacing w:before="220"/>
      </w:pPr>
      <w:bookmarkStart w:id="217" w:name="__RefHeading___Toc9591_1729075678"/>
      <w:bookmarkEnd w:id="217"/>
      <w:r>
        <w:t>1.  Scope</w:t>
      </w:r>
      <w:r>
        <w:rPr>
          <w:b w:val="0"/>
          <w:bCs w:val="0"/>
          <w:color w:val="1A1A1A"/>
          <w:sz w:val="21"/>
          <w:szCs w:val="21"/>
        </w:rPr>
        <w:t xml:space="preserve">   </w:t>
      </w:r>
      <w:r>
        <w:rPr>
          <w:color w:val="C8A24B"/>
          <w:sz w:val="20"/>
          <w:szCs w:val="20"/>
          <w:rtl/>
        </w:rPr>
        <w:t>النطاق</w:t>
      </w:r>
    </w:p>
    <w:p w14:paraId="40DB6D94" w14:textId="77777777" w:rsidR="00CD5946" w:rsidRDefault="00000000">
      <w:pPr>
        <w:spacing w:after="40" w:line="266" w:lineRule="auto"/>
        <w:ind w:left="300" w:hanging="300"/>
      </w:pPr>
      <w:r>
        <w:rPr>
          <w:rFonts w:ascii="Arial" w:eastAsia="Arial" w:hAnsi="Arial"/>
          <w:b/>
          <w:bCs/>
          <w:color w:val="15512F"/>
        </w:rPr>
        <w:t xml:space="preserve">1.1  </w:t>
      </w:r>
      <w:r>
        <w:rPr>
          <w:rFonts w:ascii="Arial" w:eastAsia="Arial" w:hAnsi="Arial"/>
          <w:color w:val="1A1A1A"/>
        </w:rPr>
        <w:t>This Annex describes the certification by an Authorised/Qualified Person and the release of batches of medicinal products, including investigational medicinal products, for the Arab market or for export. The relevant national legislation defines the legal status and detailed requirements of the AP/QP; where more than one AP/QP is involved in different stages of manufacture and testing, the arrangements and the division of responsibilities shall be documented.</w:t>
      </w:r>
    </w:p>
    <w:p w14:paraId="3D07A2C7" w14:textId="77777777" w:rsidR="00CD5946" w:rsidRDefault="00000000">
      <w:pPr>
        <w:bidi/>
        <w:spacing w:after="150" w:line="300" w:lineRule="auto"/>
        <w:ind w:right="300" w:hanging="300"/>
        <w:jc w:val="right"/>
      </w:pPr>
      <w:r>
        <w:rPr>
          <w:rFonts w:ascii="Arial" w:eastAsia="Arial" w:hAnsi="Arial"/>
          <w:color w:val="333333"/>
          <w:sz w:val="20"/>
          <w:szCs w:val="20"/>
          <w:rtl/>
        </w:rPr>
        <w:lastRenderedPageBreak/>
        <w:t>يصف هذا الملحق اعتماد الشخص المؤهّل والإفراج عن دفعات المنتجات الدوائية، بما فيها منتجات الأبحاث، للسوق العربية أو للتصدير. وتُحدّد التشريعات الوطنية الوضع القانوني والمتطلبات التفصيلية للشخص المؤهّل؛ وعند مشاركة أكثر من شخص مؤهّل في مراحل مختلفة تُوثّق الترتيبات وتقسيم المسؤوليات.</w:t>
      </w:r>
      <w:r>
        <w:rPr>
          <w:rFonts w:ascii="Arial" w:eastAsia="Arial" w:hAnsi="Arial"/>
          <w:b/>
          <w:bCs/>
          <w:color w:val="15512F"/>
          <w:sz w:val="20"/>
          <w:szCs w:val="20"/>
          <w:rtl/>
        </w:rPr>
        <w:t xml:space="preserve">  ⁦</w:t>
      </w:r>
      <w:r>
        <w:rPr>
          <w:rFonts w:ascii="Arial" w:eastAsia="Arial" w:hAnsi="Arial"/>
          <w:b/>
          <w:bCs/>
          <w:color w:val="15512F"/>
          <w:sz w:val="20"/>
          <w:szCs w:val="20"/>
        </w:rPr>
        <w:t>1.1</w:t>
      </w:r>
      <w:r>
        <w:rPr>
          <w:rFonts w:ascii="Arial" w:eastAsia="Arial" w:hAnsi="Arial"/>
          <w:b/>
          <w:bCs/>
          <w:color w:val="15512F"/>
          <w:sz w:val="20"/>
          <w:szCs w:val="20"/>
          <w:rtl/>
        </w:rPr>
        <w:t>⁩</w:t>
      </w:r>
    </w:p>
    <w:p w14:paraId="68FC883A" w14:textId="77777777" w:rsidR="00CD5946" w:rsidRDefault="00000000">
      <w:pPr>
        <w:pStyle w:val="Heading2"/>
        <w:spacing w:before="220"/>
      </w:pPr>
      <w:bookmarkStart w:id="218" w:name="__RefHeading___Toc9593_1729075678"/>
      <w:bookmarkEnd w:id="218"/>
      <w:r>
        <w:t>2.  The process of certification</w:t>
      </w:r>
      <w:r>
        <w:rPr>
          <w:b w:val="0"/>
          <w:bCs w:val="0"/>
          <w:color w:val="1A1A1A"/>
          <w:sz w:val="21"/>
          <w:szCs w:val="21"/>
        </w:rPr>
        <w:t xml:space="preserve">   </w:t>
      </w:r>
      <w:r>
        <w:rPr>
          <w:color w:val="C8A24B"/>
          <w:sz w:val="20"/>
          <w:szCs w:val="20"/>
          <w:rtl/>
        </w:rPr>
        <w:t>عملية الاعتماد</w:t>
      </w:r>
    </w:p>
    <w:p w14:paraId="3B031467" w14:textId="77777777" w:rsidR="00CD5946" w:rsidRDefault="00000000">
      <w:pPr>
        <w:spacing w:after="40" w:line="266" w:lineRule="auto"/>
        <w:ind w:left="300" w:hanging="300"/>
      </w:pPr>
      <w:r>
        <w:rPr>
          <w:rFonts w:ascii="Arial" w:eastAsia="Arial" w:hAnsi="Arial"/>
          <w:b/>
          <w:bCs/>
          <w:color w:val="15512F"/>
        </w:rPr>
        <w:t xml:space="preserve">2.1  </w:t>
      </w:r>
      <w:r>
        <w:rPr>
          <w:rFonts w:ascii="Arial" w:eastAsia="Arial" w:hAnsi="Arial"/>
          <w:color w:val="1A1A1A"/>
        </w:rPr>
        <w:t>Before certifying a batch the AP/QP shall ensure, as a minimum, that the following requirements have been met: the batch and its manufacture comply with the marketing authorisation and any additional national requirements; manufacture has been carried out in accordance with GMP (or, for imported products, equivalent GMP); the principal manufacturing and testing processes are validated; deviations and planned changes have been managed and any necessary additional sampling, inspection, testing and checks completed; and all required quality-control checks and the finished-product specification are met.</w:t>
      </w:r>
    </w:p>
    <w:p w14:paraId="00328C83"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قبل اعتماد الدفعة يتأكّد الشخص المؤهّل كحدّ أدنى من: مطابقة الدفعة وتصنيعها لترخيص التسويق والمتطلبات الوطنية؛ وإجراء التصنيع وفق </w:t>
      </w:r>
      <w:r>
        <w:rPr>
          <w:rFonts w:ascii="Arial" w:eastAsia="Arial" w:hAnsi="Arial"/>
          <w:color w:val="333333"/>
          <w:sz w:val="20"/>
          <w:szCs w:val="20"/>
        </w:rPr>
        <w:t>GMP</w:t>
      </w:r>
      <w:r>
        <w:rPr>
          <w:rFonts w:ascii="Arial" w:eastAsia="Arial" w:hAnsi="Arial"/>
          <w:color w:val="333333"/>
          <w:sz w:val="20"/>
          <w:szCs w:val="20"/>
          <w:rtl/>
        </w:rPr>
        <w:t xml:space="preserve"> (أو ما يعادلها للمستورد)؛ وتحقّق العمليات الرئيسية؛ وإدارة الانحرافات والتغييرات وإكمال أيّ فحوص إضافية؛ واستيفاء فحوص الجودة ومواصفة المنتج النهائي.</w:t>
      </w:r>
      <w:r>
        <w:rPr>
          <w:rFonts w:ascii="Arial" w:eastAsia="Arial" w:hAnsi="Arial"/>
          <w:b/>
          <w:bCs/>
          <w:color w:val="15512F"/>
          <w:sz w:val="20"/>
          <w:szCs w:val="20"/>
          <w:rtl/>
        </w:rPr>
        <w:t xml:space="preserve">  ⁦</w:t>
      </w:r>
      <w:r>
        <w:rPr>
          <w:rFonts w:ascii="Arial" w:eastAsia="Arial" w:hAnsi="Arial"/>
          <w:b/>
          <w:bCs/>
          <w:color w:val="15512F"/>
          <w:sz w:val="20"/>
          <w:szCs w:val="20"/>
        </w:rPr>
        <w:t>2.1</w:t>
      </w:r>
      <w:r>
        <w:rPr>
          <w:rFonts w:ascii="Arial" w:eastAsia="Arial" w:hAnsi="Arial"/>
          <w:b/>
          <w:bCs/>
          <w:color w:val="15512F"/>
          <w:sz w:val="20"/>
          <w:szCs w:val="20"/>
          <w:rtl/>
        </w:rPr>
        <w:t>⁩</w:t>
      </w:r>
    </w:p>
    <w:p w14:paraId="2E452FF1" w14:textId="77777777" w:rsidR="00CD5946" w:rsidRDefault="00000000">
      <w:pPr>
        <w:spacing w:after="40" w:line="266" w:lineRule="auto"/>
        <w:ind w:left="300" w:hanging="300"/>
      </w:pPr>
      <w:r>
        <w:rPr>
          <w:rFonts w:ascii="Arial" w:eastAsia="Arial" w:hAnsi="Arial"/>
          <w:b/>
          <w:bCs/>
          <w:color w:val="15512F"/>
        </w:rPr>
        <w:t xml:space="preserve">2.2  </w:t>
      </w:r>
      <w:r>
        <w:rPr>
          <w:rFonts w:ascii="Arial" w:eastAsia="Arial" w:hAnsi="Arial"/>
          <w:color w:val="1A1A1A"/>
        </w:rPr>
        <w:t>The AP/QP shall also confirm that: the requirements of the site’s manufacturing and importation authorisation are met; supply-chain and ongoing-stability requirements are addressed; audits of the active-substance manufacturer(s) and of relevant suppliers have been performed; the product is the subject of a self-inspection programme; and, where applicable, the safety features (anti-tampering and unique identifier) have been applied. The certification shall be recorded in a register or equivalent document and signed (including by electronic signature) by the AP/QP.</w:t>
      </w:r>
    </w:p>
    <w:p w14:paraId="2F4D0CCA" w14:textId="77777777" w:rsidR="00CD5946" w:rsidRDefault="00000000">
      <w:pPr>
        <w:bidi/>
        <w:spacing w:after="150" w:line="300" w:lineRule="auto"/>
        <w:ind w:right="300" w:hanging="300"/>
        <w:jc w:val="right"/>
      </w:pPr>
      <w:r>
        <w:rPr>
          <w:rFonts w:ascii="Arial" w:eastAsia="Arial" w:hAnsi="Arial"/>
          <w:color w:val="333333"/>
          <w:sz w:val="20"/>
          <w:szCs w:val="20"/>
          <w:rtl/>
        </w:rPr>
        <w:t>يُؤكّد الشخص المؤهّل أيضاً: استيفاء متطلبات ترخيص التصنيع والاستيراد؛ ومعالجة متطلبات سلسلة التوريد والثبات؛ وإجراء تدقيق مصنّعي المواد الفعّالة والمورّدين؛ وخضوع المنتج لبرنامج تفتيش ذاتي؛ وتطبيق ميزات الأمان عند الاقتضاء. ويُسجّل الاعتماد في سجل أو وثيقة مكافئة ويُوقّع (ولو إلكترونيّاً) من الشخص المؤهّل.</w:t>
      </w:r>
      <w:r>
        <w:rPr>
          <w:rFonts w:ascii="Arial" w:eastAsia="Arial" w:hAnsi="Arial"/>
          <w:b/>
          <w:bCs/>
          <w:color w:val="15512F"/>
          <w:sz w:val="20"/>
          <w:szCs w:val="20"/>
          <w:rtl/>
        </w:rPr>
        <w:t xml:space="preserve">  ⁦</w:t>
      </w:r>
      <w:r>
        <w:rPr>
          <w:rFonts w:ascii="Arial" w:eastAsia="Arial" w:hAnsi="Arial"/>
          <w:b/>
          <w:bCs/>
          <w:color w:val="15512F"/>
          <w:sz w:val="20"/>
          <w:szCs w:val="20"/>
        </w:rPr>
        <w:t>2.2</w:t>
      </w:r>
      <w:r>
        <w:rPr>
          <w:rFonts w:ascii="Arial" w:eastAsia="Arial" w:hAnsi="Arial"/>
          <w:b/>
          <w:bCs/>
          <w:color w:val="15512F"/>
          <w:sz w:val="20"/>
          <w:szCs w:val="20"/>
          <w:rtl/>
        </w:rPr>
        <w:t>⁩</w:t>
      </w:r>
    </w:p>
    <w:p w14:paraId="39F07A40" w14:textId="77777777" w:rsidR="00CD5946" w:rsidRDefault="00000000">
      <w:pPr>
        <w:spacing w:after="40" w:line="266" w:lineRule="auto"/>
        <w:ind w:left="300" w:hanging="300"/>
      </w:pPr>
      <w:r>
        <w:rPr>
          <w:rFonts w:ascii="Arial" w:eastAsia="Arial" w:hAnsi="Arial"/>
          <w:b/>
          <w:bCs/>
          <w:color w:val="15512F"/>
        </w:rPr>
        <w:t xml:space="preserve">2.3  </w:t>
      </w:r>
      <w:r>
        <w:rPr>
          <w:rFonts w:ascii="Arial" w:eastAsia="Arial" w:hAnsi="Arial"/>
          <w:color w:val="1A1A1A"/>
        </w:rPr>
        <w:t>The AP/QP certifying the finished-product batch may take account of the certification of intermediate stages by other AP/QPs, provided this is documented and each confirms their own stage. Reliance on the GMP status of a third-country or other-site manufacturer (for example through a recognised inspection, mutual-recognition arrangement or trusted-authority assessment) may reduce duplication, but the AP/QP retains the overall responsibility for the batch they certify and shall have access to the information needed to discharge that responsibility.</w:t>
      </w:r>
    </w:p>
    <w:p w14:paraId="598EAD0F"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يجوز للشخص المؤهّل المعتمد للمنتج النهائي أن يأخذ باعتباره اعتماد المراحل الوسيطة من أشخاص مؤهّلين آخرين، شريطة توثيق ذلك. والاعتماد على حالة </w:t>
      </w:r>
      <w:r>
        <w:rPr>
          <w:rFonts w:ascii="Arial" w:eastAsia="Arial" w:hAnsi="Arial"/>
          <w:color w:val="333333"/>
          <w:sz w:val="20"/>
          <w:szCs w:val="20"/>
        </w:rPr>
        <w:t>GMP</w:t>
      </w:r>
      <w:r>
        <w:rPr>
          <w:rFonts w:ascii="Arial" w:eastAsia="Arial" w:hAnsi="Arial"/>
          <w:color w:val="333333"/>
          <w:sz w:val="20"/>
          <w:szCs w:val="20"/>
          <w:rtl/>
        </w:rPr>
        <w:t xml:space="preserve"> لمصنّع في بلد آخر (بتفتيش معترَف به أو ترتيب اعتراف متبادل أو تقييم جهة موثوقة) يقلّل الازدواجية، لكنّ الشخص المؤهّل يحتفظ بالمسؤولية الكاملة عن الدفعة التي يعتمدها ويتاح له الوصول إلى المعلومات اللازمة.</w:t>
      </w:r>
      <w:r>
        <w:rPr>
          <w:rFonts w:ascii="Arial" w:eastAsia="Arial" w:hAnsi="Arial"/>
          <w:b/>
          <w:bCs/>
          <w:color w:val="15512F"/>
          <w:sz w:val="20"/>
          <w:szCs w:val="20"/>
          <w:rtl/>
        </w:rPr>
        <w:t xml:space="preserve">  ⁦</w:t>
      </w:r>
      <w:r>
        <w:rPr>
          <w:rFonts w:ascii="Arial" w:eastAsia="Arial" w:hAnsi="Arial"/>
          <w:b/>
          <w:bCs/>
          <w:color w:val="15512F"/>
          <w:sz w:val="20"/>
          <w:szCs w:val="20"/>
        </w:rPr>
        <w:t>2.3</w:t>
      </w:r>
      <w:r>
        <w:rPr>
          <w:rFonts w:ascii="Arial" w:eastAsia="Arial" w:hAnsi="Arial"/>
          <w:b/>
          <w:bCs/>
          <w:color w:val="15512F"/>
          <w:sz w:val="20"/>
          <w:szCs w:val="20"/>
          <w:rtl/>
        </w:rPr>
        <w:t>⁩</w:t>
      </w:r>
    </w:p>
    <w:p w14:paraId="5192010C" w14:textId="77777777" w:rsidR="00CD5946" w:rsidRDefault="00000000">
      <w:pPr>
        <w:pStyle w:val="Heading2"/>
        <w:spacing w:before="220"/>
      </w:pPr>
      <w:bookmarkStart w:id="219" w:name="__RefHeading___Toc9595_1729075678"/>
      <w:bookmarkEnd w:id="219"/>
      <w:r>
        <w:t>3.  Reliance, importation and sampling</w:t>
      </w:r>
      <w:r>
        <w:rPr>
          <w:b w:val="0"/>
          <w:bCs w:val="0"/>
          <w:color w:val="1A1A1A"/>
          <w:sz w:val="21"/>
          <w:szCs w:val="21"/>
        </w:rPr>
        <w:t xml:space="preserve">   </w:t>
      </w:r>
      <w:r>
        <w:rPr>
          <w:color w:val="C8A24B"/>
          <w:sz w:val="20"/>
          <w:szCs w:val="20"/>
          <w:rtl/>
        </w:rPr>
        <w:t>الاعتماد والاستيراد وأخذ العينات</w:t>
      </w:r>
    </w:p>
    <w:p w14:paraId="693F1913" w14:textId="77777777" w:rsidR="00CD5946" w:rsidRDefault="00000000">
      <w:pPr>
        <w:spacing w:after="40" w:line="266" w:lineRule="auto"/>
        <w:ind w:left="300" w:hanging="300"/>
      </w:pPr>
      <w:r>
        <w:rPr>
          <w:rFonts w:ascii="Arial" w:eastAsia="Arial" w:hAnsi="Arial"/>
          <w:b/>
          <w:bCs/>
          <w:color w:val="15512F"/>
        </w:rPr>
        <w:t xml:space="preserve">3.1  </w:t>
      </w:r>
      <w:r>
        <w:rPr>
          <w:rFonts w:ascii="Arial" w:eastAsia="Arial" w:hAnsi="Arial"/>
          <w:color w:val="1A1A1A"/>
        </w:rPr>
        <w:t>For products imported into the Arab region, the AP/QP shall ensure that appropriate sampling and testing have been carried out, unless reliance arrangements with a trusted authority allow the use of the original manufacturer’s results. Where reliance is applied, the basis and scope of reliance shall be documented, the integrity of the supply chain assured, and the conditions under which testing in the importing country may be waived shall be defined within the quality system and the national framework.</w:t>
      </w:r>
    </w:p>
    <w:p w14:paraId="34B1E770" w14:textId="77777777" w:rsidR="00CD5946" w:rsidRDefault="00000000">
      <w:pPr>
        <w:bidi/>
        <w:spacing w:after="150" w:line="300" w:lineRule="auto"/>
        <w:ind w:right="300" w:hanging="300"/>
        <w:jc w:val="right"/>
      </w:pPr>
      <w:r>
        <w:rPr>
          <w:rFonts w:ascii="Arial" w:eastAsia="Arial" w:hAnsi="Arial"/>
          <w:color w:val="333333"/>
          <w:sz w:val="20"/>
          <w:szCs w:val="20"/>
          <w:rtl/>
        </w:rPr>
        <w:t>للمنتجات المستوردة إلى المنطقة العربية يضمن الشخص المؤهّل إجراء أخذ العينات والاختبار المناسبين، ما لم تسمح ترتيبات الاعتماد مع جهة موثوقة باستخدام نتائج المصنّع الأصلي. وعند تطبيق الاعتماد يُوثّق أساسه ونطاقه، وتُضمن سلامة سلسلة التوريد، وتُحدّد شروط الإعفاء من الاختبار في بلد الاستيراد ضمن نظام الجودة والإطار الوطني.</w:t>
      </w:r>
      <w:r>
        <w:rPr>
          <w:rFonts w:ascii="Arial" w:eastAsia="Arial" w:hAnsi="Arial"/>
          <w:b/>
          <w:bCs/>
          <w:color w:val="15512F"/>
          <w:sz w:val="20"/>
          <w:szCs w:val="20"/>
          <w:rtl/>
        </w:rPr>
        <w:t xml:space="preserve">  ⁦</w:t>
      </w:r>
      <w:r>
        <w:rPr>
          <w:rFonts w:ascii="Arial" w:eastAsia="Arial" w:hAnsi="Arial"/>
          <w:b/>
          <w:bCs/>
          <w:color w:val="15512F"/>
          <w:sz w:val="20"/>
          <w:szCs w:val="20"/>
        </w:rPr>
        <w:t>3.1</w:t>
      </w:r>
      <w:r>
        <w:rPr>
          <w:rFonts w:ascii="Arial" w:eastAsia="Arial" w:hAnsi="Arial"/>
          <w:b/>
          <w:bCs/>
          <w:color w:val="15512F"/>
          <w:sz w:val="20"/>
          <w:szCs w:val="20"/>
          <w:rtl/>
        </w:rPr>
        <w:t>⁩</w:t>
      </w:r>
    </w:p>
    <w:p w14:paraId="28087EFE" w14:textId="77777777" w:rsidR="00CD5946" w:rsidRDefault="00000000">
      <w:pPr>
        <w:spacing w:after="30"/>
        <w:ind w:left="300"/>
      </w:pPr>
      <w:r>
        <w:rPr>
          <w:rFonts w:ascii="Arial" w:eastAsia="Arial" w:hAnsi="Arial"/>
          <w:b/>
          <w:bCs/>
          <w:color w:val="5A5A5A"/>
          <w:sz w:val="18"/>
          <w:szCs w:val="18"/>
        </w:rPr>
        <w:lastRenderedPageBreak/>
        <w:t xml:space="preserve">Note.  </w:t>
      </w:r>
      <w:r>
        <w:rPr>
          <w:rFonts w:ascii="Arial" w:eastAsia="Arial" w:hAnsi="Arial"/>
          <w:i/>
          <w:iCs/>
          <w:color w:val="5A5A5A"/>
          <w:sz w:val="18"/>
          <w:szCs w:val="18"/>
        </w:rPr>
        <w:t>Examples of reliance mechanisms include a Mutual Recognition Agreement (MRA), a recognised GMP certificate or inspection report from a PIC/S participating authority, WHO prequalification, or a trusted-authority assessment under WHO Good Reliance Practices. Reliance reduces duplication of inspection and testing; it does not transfer the AP/QP’s legal responsibility for the batch they certify.</w:t>
      </w:r>
    </w:p>
    <w:p w14:paraId="68FC9ECD" w14:textId="77777777" w:rsidR="00CD5946" w:rsidRDefault="00000000">
      <w:pPr>
        <w:bidi/>
        <w:spacing w:after="140"/>
        <w:ind w:right="300"/>
        <w:jc w:val="right"/>
      </w:pPr>
      <w:r>
        <w:rPr>
          <w:rFonts w:ascii="Arial" w:eastAsia="Arial" w:hAnsi="Arial"/>
          <w:color w:val="5A5A5A"/>
          <w:sz w:val="18"/>
          <w:szCs w:val="18"/>
          <w:rtl/>
        </w:rPr>
        <w:t>من أمثلة آليات الاعتماد: اتفاقية الاعتراف المتبادل (</w:t>
      </w:r>
      <w:r>
        <w:rPr>
          <w:rFonts w:ascii="Arial" w:eastAsia="Arial" w:hAnsi="Arial"/>
          <w:color w:val="5A5A5A"/>
          <w:sz w:val="18"/>
          <w:szCs w:val="18"/>
        </w:rPr>
        <w:t>MRA</w:t>
      </w:r>
      <w:r>
        <w:rPr>
          <w:rFonts w:ascii="Arial" w:eastAsia="Arial" w:hAnsi="Arial"/>
          <w:color w:val="5A5A5A"/>
          <w:sz w:val="18"/>
          <w:szCs w:val="18"/>
          <w:rtl/>
        </w:rPr>
        <w:t xml:space="preserve">)، أو شهادة </w:t>
      </w:r>
      <w:r>
        <w:rPr>
          <w:rFonts w:ascii="Arial" w:eastAsia="Arial" w:hAnsi="Arial"/>
          <w:color w:val="5A5A5A"/>
          <w:sz w:val="18"/>
          <w:szCs w:val="18"/>
        </w:rPr>
        <w:t>GMP</w:t>
      </w:r>
      <w:r>
        <w:rPr>
          <w:rFonts w:ascii="Arial" w:eastAsia="Arial" w:hAnsi="Arial"/>
          <w:color w:val="5A5A5A"/>
          <w:sz w:val="18"/>
          <w:szCs w:val="18"/>
          <w:rtl/>
        </w:rPr>
        <w:t xml:space="preserve"> أو تقرير تفتيش معترَف به من جهة عضو في </w:t>
      </w:r>
      <w:r>
        <w:rPr>
          <w:rFonts w:ascii="Arial" w:eastAsia="Arial" w:hAnsi="Arial"/>
          <w:color w:val="5A5A5A"/>
          <w:sz w:val="18"/>
          <w:szCs w:val="18"/>
        </w:rPr>
        <w:t>PIC/S</w:t>
      </w:r>
      <w:r>
        <w:rPr>
          <w:rFonts w:ascii="Arial" w:eastAsia="Arial" w:hAnsi="Arial"/>
          <w:color w:val="5A5A5A"/>
          <w:sz w:val="18"/>
          <w:szCs w:val="18"/>
          <w:rtl/>
        </w:rPr>
        <w:t>، أو التأهيل المسبق من منظّمة الصحّة العالمية، أو تقييم جهة موثوقة وفق ممارسات الاعتماد الجيدة. والاعتماد يقلّل ازدواجية التفتيش والاختبار، ولا ينقل المسؤولية القانونية للشخص المؤهّل عن الدفعة التي يعتمدها.</w:t>
      </w:r>
      <w:r>
        <w:rPr>
          <w:rFonts w:ascii="Arial" w:eastAsia="Arial" w:hAnsi="Arial"/>
          <w:b/>
          <w:bCs/>
          <w:color w:val="5A5A5A"/>
          <w:sz w:val="18"/>
          <w:szCs w:val="18"/>
          <w:rtl/>
        </w:rPr>
        <w:t xml:space="preserve">  ملاحظة.</w:t>
      </w:r>
    </w:p>
    <w:p w14:paraId="3E651815" w14:textId="77777777" w:rsidR="00CD5946" w:rsidRDefault="00000000">
      <w:pPr>
        <w:pStyle w:val="Heading2"/>
        <w:spacing w:before="220"/>
      </w:pPr>
      <w:bookmarkStart w:id="220" w:name="__RefHeading___Toc9597_1729075678"/>
      <w:bookmarkEnd w:id="220"/>
      <w:r>
        <w:t>4.  Handling of unexpected deviations</w:t>
      </w:r>
      <w:r>
        <w:rPr>
          <w:b w:val="0"/>
          <w:bCs w:val="0"/>
          <w:color w:val="1A1A1A"/>
          <w:sz w:val="21"/>
          <w:szCs w:val="21"/>
        </w:rPr>
        <w:t xml:space="preserve">   </w:t>
      </w:r>
      <w:r>
        <w:rPr>
          <w:color w:val="C8A24B"/>
          <w:sz w:val="20"/>
          <w:szCs w:val="20"/>
          <w:rtl/>
        </w:rPr>
        <w:t>معالجة الانحرافات غير المتوقّعة</w:t>
      </w:r>
    </w:p>
    <w:p w14:paraId="4759AFE6" w14:textId="77777777" w:rsidR="00CD5946" w:rsidRDefault="00000000">
      <w:pPr>
        <w:spacing w:after="40" w:line="266" w:lineRule="auto"/>
        <w:ind w:left="300" w:hanging="300"/>
      </w:pPr>
      <w:r>
        <w:rPr>
          <w:rFonts w:ascii="Arial" w:eastAsia="Arial" w:hAnsi="Arial"/>
          <w:b/>
          <w:bCs/>
          <w:color w:val="15512F"/>
        </w:rPr>
        <w:t xml:space="preserve">4.1  </w:t>
      </w:r>
      <w:r>
        <w:rPr>
          <w:rFonts w:ascii="Arial" w:eastAsia="Arial" w:hAnsi="Arial"/>
          <w:color w:val="1A1A1A"/>
        </w:rPr>
        <w:t>Provided that the registered specifications for active substances, excipients, packaging materials and finished product are met, an AP/QP may consider certifying a batch where an unexpected deviation from the manufacturing process and/or the analytical control methods has occurred, subject to: a thorough investigation and root-cause analysis; confirmation that the deviation does not affect the quality, safety or efficacy of the product, and is not the result of fraud or a recurring quality problem; and a documented impact assessment supported by quality risk management. Any such certification shall be exceptional and fully justified; where the deviation may recur, the need for a variation to the marketing authorisation shall be assessed and actioned.</w:t>
      </w:r>
    </w:p>
    <w:p w14:paraId="56BDF554" w14:textId="77777777" w:rsidR="00CD5946" w:rsidRDefault="00000000">
      <w:pPr>
        <w:bidi/>
        <w:spacing w:after="150" w:line="300" w:lineRule="auto"/>
        <w:ind w:right="300" w:hanging="300"/>
        <w:jc w:val="right"/>
      </w:pPr>
      <w:r>
        <w:rPr>
          <w:rFonts w:ascii="Arial" w:eastAsia="Arial" w:hAnsi="Arial"/>
          <w:color w:val="333333"/>
          <w:sz w:val="20"/>
          <w:szCs w:val="20"/>
          <w:rtl/>
        </w:rPr>
        <w:t>شريطة استيفاء المواصفات المُسجّلة للمواد الفعّالة والسواغات ومواد التعبئة والمنتج النهائي، يجوز للشخص المؤهّل النظر في اعتماد دفعة وقع فيها انحراف غير متوقّع، رهناً بـ: تحقيق وافٍ وتحليل للسبب الجذري؛ وتأكيد أنّ الانحراف لا يؤثّر في الجودة أو السلامة أو الفعّالية وليس ناتجاً عن احتيال أو مشكلة متكرّرة؛ وتقييم أثر موثّق مدعوم بإدارة المخاطر. ويكون هذا الاعتماد استثنائيّاً ومُبرّراً تماماً؛ وإن كان الانحراف قابلاً للتكرار قُيّمت الحاجة إلى تعديل الترخيص واتُّخذ الإجراء.</w:t>
      </w:r>
      <w:r>
        <w:rPr>
          <w:rFonts w:ascii="Arial" w:eastAsia="Arial" w:hAnsi="Arial"/>
          <w:b/>
          <w:bCs/>
          <w:color w:val="15512F"/>
          <w:sz w:val="20"/>
          <w:szCs w:val="20"/>
          <w:rtl/>
        </w:rPr>
        <w:t xml:space="preserve">  ⁦</w:t>
      </w:r>
      <w:r>
        <w:rPr>
          <w:rFonts w:ascii="Arial" w:eastAsia="Arial" w:hAnsi="Arial"/>
          <w:b/>
          <w:bCs/>
          <w:color w:val="15512F"/>
          <w:sz w:val="20"/>
          <w:szCs w:val="20"/>
        </w:rPr>
        <w:t>4.1</w:t>
      </w:r>
      <w:r>
        <w:rPr>
          <w:rFonts w:ascii="Arial" w:eastAsia="Arial" w:hAnsi="Arial"/>
          <w:b/>
          <w:bCs/>
          <w:color w:val="15512F"/>
          <w:sz w:val="20"/>
          <w:szCs w:val="20"/>
          <w:rtl/>
        </w:rPr>
        <w:t>⁩</w:t>
      </w:r>
    </w:p>
    <w:p w14:paraId="50796B23" w14:textId="77777777" w:rsidR="00CD5946" w:rsidRDefault="00000000">
      <w:pP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This provision addresses unexpected process or analytical deviations within registered specifications. It does not cover out-of-specification (OOS) results, which shall be handled under the dedicated OOS investigation procedure, nor does it permit certification of a batch that fails to meet a registered specification.</w:t>
      </w:r>
    </w:p>
    <w:p w14:paraId="5D0FEC77" w14:textId="77777777" w:rsidR="00CD5946" w:rsidRDefault="00000000">
      <w:pPr>
        <w:bidi/>
        <w:spacing w:after="140"/>
        <w:ind w:right="300"/>
        <w:jc w:val="right"/>
      </w:pPr>
      <w:r>
        <w:rPr>
          <w:rFonts w:ascii="Arial" w:eastAsia="Arial" w:hAnsi="Arial"/>
          <w:color w:val="5A5A5A"/>
          <w:sz w:val="18"/>
          <w:szCs w:val="18"/>
          <w:rtl/>
        </w:rPr>
        <w:t>يعالج هذا البند الانحرافات غير المتوقّعة ضمن المواصفات المُسجّلة، ولا يشمل النتائج خارج المواصفة (</w:t>
      </w:r>
      <w:r>
        <w:rPr>
          <w:rFonts w:ascii="Arial" w:eastAsia="Arial" w:hAnsi="Arial"/>
          <w:color w:val="5A5A5A"/>
          <w:sz w:val="18"/>
          <w:szCs w:val="18"/>
        </w:rPr>
        <w:t>OOS</w:t>
      </w:r>
      <w:r>
        <w:rPr>
          <w:rFonts w:ascii="Arial" w:eastAsia="Arial" w:hAnsi="Arial"/>
          <w:color w:val="5A5A5A"/>
          <w:sz w:val="18"/>
          <w:szCs w:val="18"/>
          <w:rtl/>
        </w:rPr>
        <w:t>) التي تُعالَج وفق إجراء التحقيق المخصّص لها، ولا يجيز اعتماد دفعة تخالف مواصفة مُسجّلة.</w:t>
      </w:r>
      <w:r>
        <w:rPr>
          <w:rFonts w:ascii="Arial" w:eastAsia="Arial" w:hAnsi="Arial"/>
          <w:b/>
          <w:bCs/>
          <w:color w:val="5A5A5A"/>
          <w:sz w:val="18"/>
          <w:szCs w:val="18"/>
          <w:rtl/>
        </w:rPr>
        <w:t xml:space="preserve">  ملاحظة.</w:t>
      </w:r>
    </w:p>
    <w:p w14:paraId="46EF6766" w14:textId="77777777" w:rsidR="00CD5946" w:rsidRDefault="00000000">
      <w:pPr>
        <w:pStyle w:val="Heading2"/>
        <w:spacing w:before="220"/>
      </w:pPr>
      <w:bookmarkStart w:id="221" w:name="__RefHeading___Toc9599_1729075678"/>
      <w:bookmarkEnd w:id="221"/>
      <w:r>
        <w:t>5.  Routine duties of the Authorised/Qualified Person</w:t>
      </w:r>
      <w:r>
        <w:rPr>
          <w:b w:val="0"/>
          <w:bCs w:val="0"/>
          <w:color w:val="1A1A1A"/>
          <w:sz w:val="21"/>
          <w:szCs w:val="21"/>
        </w:rPr>
        <w:t xml:space="preserve">   </w:t>
      </w:r>
      <w:r>
        <w:rPr>
          <w:color w:val="C8A24B"/>
          <w:sz w:val="20"/>
          <w:szCs w:val="20"/>
          <w:rtl/>
        </w:rPr>
        <w:t>الواجبات الروتينية للشخص المؤهّل</w:t>
      </w:r>
    </w:p>
    <w:p w14:paraId="695E898C" w14:textId="77777777" w:rsidR="00CD5946" w:rsidRDefault="00000000">
      <w:pPr>
        <w:spacing w:after="40" w:line="266" w:lineRule="auto"/>
        <w:ind w:left="300" w:hanging="300"/>
      </w:pPr>
      <w:r>
        <w:rPr>
          <w:rFonts w:ascii="Arial" w:eastAsia="Arial" w:hAnsi="Arial"/>
          <w:b/>
          <w:bCs/>
          <w:color w:val="15512F"/>
        </w:rPr>
        <w:t xml:space="preserve">5.1  </w:t>
      </w:r>
      <w:r>
        <w:rPr>
          <w:rFonts w:ascii="Arial" w:eastAsia="Arial" w:hAnsi="Arial"/>
          <w:color w:val="1A1A1A"/>
        </w:rPr>
        <w:t>The AP/QP shall maintain their knowledge and experience up to date in the light of technical and scientific progress and changes in quality management relevant to the products they certify. Before performing certification the AP/QP shall ensure they are satisfied, through personal knowledge or through reliance on the pharmaceutical quality system and the determinations of other competent persons, that the necessary requirements have been met.</w:t>
      </w:r>
    </w:p>
    <w:p w14:paraId="6ACFA35D" w14:textId="77777777" w:rsidR="00CD5946" w:rsidRDefault="00000000">
      <w:pPr>
        <w:bidi/>
        <w:spacing w:after="150" w:line="300" w:lineRule="auto"/>
        <w:ind w:right="300" w:hanging="300"/>
        <w:jc w:val="right"/>
      </w:pPr>
      <w:r>
        <w:rPr>
          <w:rFonts w:ascii="Arial" w:eastAsia="Arial" w:hAnsi="Arial"/>
          <w:color w:val="333333"/>
          <w:sz w:val="20"/>
          <w:szCs w:val="20"/>
          <w:rtl/>
        </w:rPr>
        <w:t>يُحافِظ الشخص المؤهّل على تحديث معرفته وخبرته في ضوء التقدّم العلمي والتقني وتغيّرات إدارة الجودة ذات الصلة بالمنتجات التي يعتمدها. وقبل الاعتماد يتأكّد — بمعرفته الشخصية أو بالاعتماد على نظام الجودة وقرارات أشخاص مختصّين — من استيفاء المتطلبات.</w:t>
      </w:r>
      <w:r>
        <w:rPr>
          <w:rFonts w:ascii="Arial" w:eastAsia="Arial" w:hAnsi="Arial"/>
          <w:b/>
          <w:bCs/>
          <w:color w:val="15512F"/>
          <w:sz w:val="20"/>
          <w:szCs w:val="20"/>
          <w:rtl/>
        </w:rPr>
        <w:t xml:space="preserve">  ⁦</w:t>
      </w:r>
      <w:r>
        <w:rPr>
          <w:rFonts w:ascii="Arial" w:eastAsia="Arial" w:hAnsi="Arial"/>
          <w:b/>
          <w:bCs/>
          <w:color w:val="15512F"/>
          <w:sz w:val="20"/>
          <w:szCs w:val="20"/>
        </w:rPr>
        <w:t>5.1</w:t>
      </w:r>
      <w:r>
        <w:rPr>
          <w:rFonts w:ascii="Arial" w:eastAsia="Arial" w:hAnsi="Arial"/>
          <w:b/>
          <w:bCs/>
          <w:color w:val="15512F"/>
          <w:sz w:val="20"/>
          <w:szCs w:val="20"/>
          <w:rtl/>
        </w:rPr>
        <w:t>⁩</w:t>
      </w:r>
    </w:p>
    <w:p w14:paraId="3ABB0904" w14:textId="77777777" w:rsidR="00CD5946" w:rsidRDefault="00000000">
      <w:pPr>
        <w:spacing w:after="40" w:line="266" w:lineRule="auto"/>
        <w:ind w:left="300" w:hanging="300"/>
      </w:pPr>
      <w:r>
        <w:rPr>
          <w:rFonts w:ascii="Arial" w:eastAsia="Arial" w:hAnsi="Arial"/>
          <w:b/>
          <w:bCs/>
          <w:color w:val="15512F"/>
        </w:rPr>
        <w:t xml:space="preserve">5.2  </w:t>
      </w:r>
      <w:r>
        <w:rPr>
          <w:rFonts w:ascii="Arial" w:eastAsia="Arial" w:hAnsi="Arial"/>
          <w:color w:val="1A1A1A"/>
        </w:rPr>
        <w:t>The AP/QP shall be involved, as required by the quality system, in monitoring compliance with GMP and the marketing authorisation, including the review of deviations, complaints, recalls and self-inspection outcomes. The list of products that an AP/QP certifies, and the periods of responsibility, shall be documented. In the event of a quality defect or recall, the AP/QP shall act in accordance with the defined procedures.</w:t>
      </w:r>
    </w:p>
    <w:p w14:paraId="3455BD63"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يُشارك الشخص المؤهّل — وفق نظام الجودة — في مراقبة الامتثال لـ </w:t>
      </w:r>
      <w:r>
        <w:rPr>
          <w:rFonts w:ascii="Arial" w:eastAsia="Arial" w:hAnsi="Arial"/>
          <w:color w:val="333333"/>
          <w:sz w:val="20"/>
          <w:szCs w:val="20"/>
        </w:rPr>
        <w:t>GMP</w:t>
      </w:r>
      <w:r>
        <w:rPr>
          <w:rFonts w:ascii="Arial" w:eastAsia="Arial" w:hAnsi="Arial"/>
          <w:color w:val="333333"/>
          <w:sz w:val="20"/>
          <w:szCs w:val="20"/>
          <w:rtl/>
        </w:rPr>
        <w:t xml:space="preserve"> وترخيص التسويق، بما في ذلك مراجعة الانحرافات والشكاوى والاستدعاءات ونتائج التفتيش الذاتي. وتُوثّق قائمة المنتجات التي يعتمدها وفترات المسؤولية. وعند وجود عيب جودة أو استدعاء يتصرّف وفق الإجراءات المحدّدة.</w:t>
      </w:r>
      <w:r>
        <w:rPr>
          <w:rFonts w:ascii="Arial" w:eastAsia="Arial" w:hAnsi="Arial"/>
          <w:b/>
          <w:bCs/>
          <w:color w:val="15512F"/>
          <w:sz w:val="20"/>
          <w:szCs w:val="20"/>
          <w:rtl/>
        </w:rPr>
        <w:t xml:space="preserve">  ⁦</w:t>
      </w:r>
      <w:r>
        <w:rPr>
          <w:rFonts w:ascii="Arial" w:eastAsia="Arial" w:hAnsi="Arial"/>
          <w:b/>
          <w:bCs/>
          <w:color w:val="15512F"/>
          <w:sz w:val="20"/>
          <w:szCs w:val="20"/>
        </w:rPr>
        <w:t>5.2</w:t>
      </w:r>
      <w:r>
        <w:rPr>
          <w:rFonts w:ascii="Arial" w:eastAsia="Arial" w:hAnsi="Arial"/>
          <w:b/>
          <w:bCs/>
          <w:color w:val="15512F"/>
          <w:sz w:val="20"/>
          <w:szCs w:val="20"/>
          <w:rtl/>
        </w:rPr>
        <w:t>⁩</w:t>
      </w:r>
    </w:p>
    <w:p w14:paraId="584F5E1F" w14:textId="77777777" w:rsidR="00CD5946" w:rsidRDefault="00000000">
      <w:pPr>
        <w:pStyle w:val="Heading2"/>
        <w:spacing w:before="220"/>
      </w:pPr>
      <w:bookmarkStart w:id="222" w:name="__RefHeading___Toc9601_1729075678"/>
      <w:bookmarkEnd w:id="222"/>
      <w:r>
        <w:t>6.  Glossary (Annex 16)</w:t>
      </w:r>
      <w:r>
        <w:rPr>
          <w:b w:val="0"/>
          <w:bCs w:val="0"/>
          <w:color w:val="1A1A1A"/>
          <w:sz w:val="21"/>
          <w:szCs w:val="21"/>
        </w:rPr>
        <w:t xml:space="preserve">   </w:t>
      </w:r>
      <w:r>
        <w:rPr>
          <w:color w:val="C8A24B"/>
          <w:sz w:val="20"/>
          <w:szCs w:val="20"/>
          <w:rtl/>
        </w:rPr>
        <w:t>مسرد الملحق</w:t>
      </w:r>
      <w:r>
        <w:rPr>
          <w:color w:val="C8A24B"/>
          <w:sz w:val="20"/>
          <w:szCs w:val="20"/>
        </w:rPr>
        <w:t xml:space="preserve"> ⁦16⁩</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600"/>
        <w:gridCol w:w="6760"/>
      </w:tblGrid>
      <w:tr w:rsidR="00CD5946" w14:paraId="510F2605" w14:textId="77777777">
        <w:trPr>
          <w:tblHeader/>
        </w:trPr>
        <w:tc>
          <w:tcPr>
            <w:tcW w:w="2600" w:type="dxa"/>
            <w:tcBorders>
              <w:top w:val="single" w:sz="2" w:space="0" w:color="BFC9C0"/>
              <w:left w:val="single" w:sz="2" w:space="0" w:color="BFC9C0"/>
              <w:bottom w:val="single" w:sz="2" w:space="0" w:color="BFC9C0"/>
              <w:right w:val="single" w:sz="2" w:space="0" w:color="BFC9C0"/>
            </w:tcBorders>
            <w:shd w:val="clear" w:color="auto" w:fill="0E5A50"/>
          </w:tcPr>
          <w:p w14:paraId="77DABF53" w14:textId="77777777" w:rsidR="00CD5946" w:rsidRDefault="00000000">
            <w:pPr>
              <w:spacing w:after="0"/>
            </w:pPr>
            <w:r>
              <w:rPr>
                <w:rFonts w:ascii="Arial" w:eastAsia="Arial" w:hAnsi="Arial"/>
                <w:b/>
                <w:bCs/>
                <w:color w:val="FFFFFF"/>
                <w:sz w:val="18"/>
                <w:szCs w:val="18"/>
              </w:rPr>
              <w:t xml:space="preserve">Term / </w:t>
            </w:r>
            <w:r>
              <w:rPr>
                <w:rFonts w:ascii="Arial" w:eastAsia="Arial" w:hAnsi="Arial"/>
                <w:b/>
                <w:bCs/>
                <w:color w:val="FFFFFF"/>
                <w:sz w:val="18"/>
                <w:szCs w:val="18"/>
                <w:rtl/>
              </w:rPr>
              <w:t>المصطلح</w:t>
            </w:r>
          </w:p>
        </w:tc>
        <w:tc>
          <w:tcPr>
            <w:tcW w:w="6760" w:type="dxa"/>
            <w:tcBorders>
              <w:top w:val="single" w:sz="2" w:space="0" w:color="BFC9C0"/>
              <w:left w:val="single" w:sz="2" w:space="0" w:color="BFC9C0"/>
              <w:bottom w:val="single" w:sz="2" w:space="0" w:color="BFC9C0"/>
              <w:right w:val="single" w:sz="2" w:space="0" w:color="BFC9C0"/>
            </w:tcBorders>
            <w:shd w:val="clear" w:color="auto" w:fill="0E5A50"/>
          </w:tcPr>
          <w:p w14:paraId="1DEABADB" w14:textId="77777777" w:rsidR="00CD5946" w:rsidRDefault="00000000">
            <w:pPr>
              <w:spacing w:after="0"/>
            </w:pPr>
            <w:r>
              <w:rPr>
                <w:rFonts w:ascii="Arial" w:eastAsia="Arial" w:hAnsi="Arial"/>
                <w:b/>
                <w:bCs/>
                <w:color w:val="FFFFFF"/>
                <w:sz w:val="18"/>
                <w:szCs w:val="18"/>
              </w:rPr>
              <w:t xml:space="preserve">Definition / </w:t>
            </w:r>
            <w:r>
              <w:rPr>
                <w:rFonts w:ascii="Arial" w:eastAsia="Arial" w:hAnsi="Arial"/>
                <w:b/>
                <w:bCs/>
                <w:color w:val="FFFFFF"/>
                <w:sz w:val="18"/>
                <w:szCs w:val="18"/>
                <w:rtl/>
              </w:rPr>
              <w:t>التعريف</w:t>
            </w:r>
          </w:p>
        </w:tc>
      </w:tr>
      <w:tr w:rsidR="00CD5946" w14:paraId="31815F55"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4D326C13" w14:textId="77777777" w:rsidR="00CD5946" w:rsidRDefault="00000000">
            <w:pPr>
              <w:spacing w:after="0"/>
            </w:pPr>
            <w:r>
              <w:rPr>
                <w:rFonts w:ascii="Arial" w:eastAsia="Arial" w:hAnsi="Arial"/>
                <w:b/>
                <w:bCs/>
                <w:color w:val="15512F"/>
                <w:sz w:val="18"/>
                <w:szCs w:val="18"/>
              </w:rPr>
              <w:t>Certification</w:t>
            </w:r>
          </w:p>
        </w:tc>
        <w:tc>
          <w:tcPr>
            <w:tcW w:w="6760" w:type="dxa"/>
            <w:tcBorders>
              <w:top w:val="single" w:sz="2" w:space="0" w:color="BFC9C0"/>
              <w:left w:val="single" w:sz="2" w:space="0" w:color="BFC9C0"/>
              <w:bottom w:val="single" w:sz="2" w:space="0" w:color="BFC9C0"/>
              <w:right w:val="single" w:sz="2" w:space="0" w:color="BFC9C0"/>
            </w:tcBorders>
            <w:shd w:val="clear" w:color="auto" w:fill="FFFFFF"/>
          </w:tcPr>
          <w:p w14:paraId="22690213" w14:textId="77777777" w:rsidR="00CD5946" w:rsidRDefault="00000000">
            <w:pPr>
              <w:spacing w:after="0"/>
            </w:pPr>
            <w:r>
              <w:rPr>
                <w:rFonts w:ascii="Arial" w:eastAsia="Arial" w:hAnsi="Arial"/>
                <w:color w:val="1A1A1A"/>
                <w:sz w:val="18"/>
                <w:szCs w:val="18"/>
              </w:rPr>
              <w:t xml:space="preserve">The act by which an AP/QP attests that a batch complies with GMP and the marketing authorisation, recorded before the batch is released. / </w:t>
            </w:r>
            <w:r>
              <w:rPr>
                <w:rFonts w:ascii="Arial" w:eastAsia="Arial" w:hAnsi="Arial"/>
                <w:color w:val="1A1A1A"/>
                <w:sz w:val="18"/>
                <w:szCs w:val="18"/>
                <w:rtl/>
              </w:rPr>
              <w:t>إشهاد الشخص المؤهّل بمطابقة الدفعة، يُسجّل قبل الإفراج</w:t>
            </w:r>
            <w:r>
              <w:rPr>
                <w:rFonts w:ascii="Arial" w:eastAsia="Arial" w:hAnsi="Arial"/>
                <w:color w:val="1A1A1A"/>
                <w:sz w:val="18"/>
                <w:szCs w:val="18"/>
              </w:rPr>
              <w:t>.</w:t>
            </w:r>
          </w:p>
        </w:tc>
      </w:tr>
      <w:tr w:rsidR="00CD5946" w14:paraId="24E6B705" w14:textId="77777777">
        <w:tc>
          <w:tcPr>
            <w:tcW w:w="2600" w:type="dxa"/>
            <w:tcBorders>
              <w:top w:val="single" w:sz="2" w:space="0" w:color="BFC9C0"/>
              <w:left w:val="single" w:sz="2" w:space="0" w:color="BFC9C0"/>
              <w:bottom w:val="single" w:sz="2" w:space="0" w:color="BFC9C0"/>
              <w:right w:val="single" w:sz="2" w:space="0" w:color="BFC9C0"/>
            </w:tcBorders>
            <w:shd w:val="clear" w:color="auto" w:fill="EEF3F1"/>
          </w:tcPr>
          <w:p w14:paraId="4B32FDD8" w14:textId="77777777" w:rsidR="00CD5946" w:rsidRDefault="00000000">
            <w:pPr>
              <w:spacing w:after="0"/>
            </w:pPr>
            <w:r>
              <w:rPr>
                <w:rFonts w:ascii="Arial" w:eastAsia="Arial" w:hAnsi="Arial"/>
                <w:b/>
                <w:bCs/>
                <w:color w:val="15512F"/>
                <w:sz w:val="18"/>
                <w:szCs w:val="18"/>
              </w:rPr>
              <w:lastRenderedPageBreak/>
              <w:t>Batch release</w:t>
            </w:r>
          </w:p>
        </w:tc>
        <w:tc>
          <w:tcPr>
            <w:tcW w:w="6760" w:type="dxa"/>
            <w:tcBorders>
              <w:top w:val="single" w:sz="2" w:space="0" w:color="BFC9C0"/>
              <w:left w:val="single" w:sz="2" w:space="0" w:color="BFC9C0"/>
              <w:bottom w:val="single" w:sz="2" w:space="0" w:color="BFC9C0"/>
              <w:right w:val="single" w:sz="2" w:space="0" w:color="BFC9C0"/>
            </w:tcBorders>
            <w:shd w:val="clear" w:color="auto" w:fill="EEF3F1"/>
          </w:tcPr>
          <w:p w14:paraId="7E41299F" w14:textId="77777777" w:rsidR="00CD5946" w:rsidRDefault="00000000">
            <w:pPr>
              <w:spacing w:after="0"/>
            </w:pPr>
            <w:r>
              <w:rPr>
                <w:rFonts w:ascii="Arial" w:eastAsia="Arial" w:hAnsi="Arial"/>
                <w:color w:val="1A1A1A"/>
                <w:sz w:val="18"/>
                <w:szCs w:val="18"/>
              </w:rPr>
              <w:t xml:space="preserve">The total process of making a batch available for sale or supply, which follows certification by the AP/QP. / </w:t>
            </w:r>
            <w:r>
              <w:rPr>
                <w:rFonts w:ascii="Arial" w:eastAsia="Arial" w:hAnsi="Arial"/>
                <w:color w:val="1A1A1A"/>
                <w:sz w:val="18"/>
                <w:szCs w:val="18"/>
                <w:rtl/>
              </w:rPr>
              <w:t>إتاحة الدفعة للبيع أو التوريد بعد الاعتماد</w:t>
            </w:r>
            <w:r>
              <w:rPr>
                <w:rFonts w:ascii="Arial" w:eastAsia="Arial" w:hAnsi="Arial"/>
                <w:color w:val="1A1A1A"/>
                <w:sz w:val="18"/>
                <w:szCs w:val="18"/>
              </w:rPr>
              <w:t>.</w:t>
            </w:r>
          </w:p>
        </w:tc>
      </w:tr>
      <w:tr w:rsidR="00CD5946" w14:paraId="6F4B150A"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4207F0D7" w14:textId="77777777" w:rsidR="00CD5946" w:rsidRDefault="00000000">
            <w:pPr>
              <w:spacing w:after="0"/>
            </w:pPr>
            <w:r>
              <w:rPr>
                <w:rFonts w:ascii="Arial" w:eastAsia="Arial" w:hAnsi="Arial"/>
                <w:b/>
                <w:bCs/>
                <w:color w:val="15512F"/>
                <w:sz w:val="18"/>
                <w:szCs w:val="18"/>
              </w:rPr>
              <w:t>Authorised/Qualified Person (AP/QP)</w:t>
            </w:r>
          </w:p>
        </w:tc>
        <w:tc>
          <w:tcPr>
            <w:tcW w:w="6760" w:type="dxa"/>
            <w:tcBorders>
              <w:top w:val="single" w:sz="2" w:space="0" w:color="BFC9C0"/>
              <w:left w:val="single" w:sz="2" w:space="0" w:color="BFC9C0"/>
              <w:bottom w:val="single" w:sz="2" w:space="0" w:color="BFC9C0"/>
              <w:right w:val="single" w:sz="2" w:space="0" w:color="BFC9C0"/>
            </w:tcBorders>
            <w:shd w:val="clear" w:color="auto" w:fill="FFFFFF"/>
          </w:tcPr>
          <w:p w14:paraId="45AF4085" w14:textId="77777777" w:rsidR="00CD5946" w:rsidRDefault="00000000">
            <w:pPr>
              <w:spacing w:after="0"/>
            </w:pPr>
            <w:r>
              <w:rPr>
                <w:rFonts w:ascii="Arial" w:eastAsia="Arial" w:hAnsi="Arial"/>
                <w:color w:val="1A1A1A"/>
                <w:sz w:val="18"/>
                <w:szCs w:val="18"/>
              </w:rPr>
              <w:t xml:space="preserve">The person legally responsible for certifying that each batch has been manufactured and checked in accordance with GMP and the marketing authorisation. / </w:t>
            </w:r>
            <w:r>
              <w:rPr>
                <w:rFonts w:ascii="Arial" w:eastAsia="Arial" w:hAnsi="Arial"/>
                <w:color w:val="1A1A1A"/>
                <w:sz w:val="18"/>
                <w:szCs w:val="18"/>
                <w:rtl/>
              </w:rPr>
              <w:t>المسؤول قانونيّاً عن اعتماد كل دفعة</w:t>
            </w:r>
            <w:r>
              <w:rPr>
                <w:rFonts w:ascii="Arial" w:eastAsia="Arial" w:hAnsi="Arial"/>
                <w:color w:val="1A1A1A"/>
                <w:sz w:val="18"/>
                <w:szCs w:val="18"/>
              </w:rPr>
              <w:t>.</w:t>
            </w:r>
          </w:p>
        </w:tc>
      </w:tr>
      <w:tr w:rsidR="00CD5946" w14:paraId="714746FF" w14:textId="77777777">
        <w:tc>
          <w:tcPr>
            <w:tcW w:w="2600" w:type="dxa"/>
            <w:tcBorders>
              <w:top w:val="single" w:sz="2" w:space="0" w:color="BFC9C0"/>
              <w:left w:val="single" w:sz="2" w:space="0" w:color="BFC9C0"/>
              <w:bottom w:val="single" w:sz="2" w:space="0" w:color="BFC9C0"/>
              <w:right w:val="single" w:sz="2" w:space="0" w:color="BFC9C0"/>
            </w:tcBorders>
            <w:shd w:val="clear" w:color="auto" w:fill="EEF3F1"/>
          </w:tcPr>
          <w:p w14:paraId="2E7321F6" w14:textId="77777777" w:rsidR="00CD5946" w:rsidRDefault="00000000">
            <w:pPr>
              <w:spacing w:after="0"/>
            </w:pPr>
            <w:r>
              <w:rPr>
                <w:rFonts w:ascii="Arial" w:eastAsia="Arial" w:hAnsi="Arial"/>
                <w:b/>
                <w:bCs/>
                <w:color w:val="15512F"/>
                <w:sz w:val="18"/>
                <w:szCs w:val="18"/>
              </w:rPr>
              <w:t>Reliance</w:t>
            </w:r>
          </w:p>
        </w:tc>
        <w:tc>
          <w:tcPr>
            <w:tcW w:w="6760" w:type="dxa"/>
            <w:tcBorders>
              <w:top w:val="single" w:sz="2" w:space="0" w:color="BFC9C0"/>
              <w:left w:val="single" w:sz="2" w:space="0" w:color="BFC9C0"/>
              <w:bottom w:val="single" w:sz="2" w:space="0" w:color="BFC9C0"/>
              <w:right w:val="single" w:sz="2" w:space="0" w:color="BFC9C0"/>
            </w:tcBorders>
            <w:shd w:val="clear" w:color="auto" w:fill="EEF3F1"/>
          </w:tcPr>
          <w:p w14:paraId="11EAA1A1" w14:textId="77777777" w:rsidR="00CD5946" w:rsidRDefault="00000000">
            <w:pPr>
              <w:spacing w:after="0"/>
            </w:pPr>
            <w:r>
              <w:rPr>
                <w:rFonts w:ascii="Arial" w:eastAsia="Arial" w:hAnsi="Arial"/>
                <w:color w:val="1A1A1A"/>
                <w:sz w:val="18"/>
                <w:szCs w:val="18"/>
              </w:rPr>
              <w:t xml:space="preserve">The act whereby an authority takes into account and gives significant weight to assessments or decisions of another trusted authority or institution, while remaining responsible for its own decisions. / </w:t>
            </w:r>
            <w:r>
              <w:rPr>
                <w:rFonts w:ascii="Arial" w:eastAsia="Arial" w:hAnsi="Arial"/>
                <w:color w:val="1A1A1A"/>
                <w:sz w:val="18"/>
                <w:szCs w:val="18"/>
                <w:rtl/>
              </w:rPr>
              <w:t>الاعتماد على تقييمات جهة موثوقة أخرى</w:t>
            </w:r>
            <w:r>
              <w:rPr>
                <w:rFonts w:ascii="Arial" w:eastAsia="Arial" w:hAnsi="Arial"/>
                <w:color w:val="1A1A1A"/>
                <w:sz w:val="18"/>
                <w:szCs w:val="18"/>
              </w:rPr>
              <w:t>.</w:t>
            </w:r>
          </w:p>
        </w:tc>
      </w:tr>
      <w:tr w:rsidR="00CD5946" w14:paraId="5CC4FD53" w14:textId="77777777">
        <w:tc>
          <w:tcPr>
            <w:tcW w:w="2600" w:type="dxa"/>
            <w:tcBorders>
              <w:top w:val="single" w:sz="2" w:space="0" w:color="BFC9C0"/>
              <w:left w:val="single" w:sz="2" w:space="0" w:color="BFC9C0"/>
              <w:bottom w:val="single" w:sz="2" w:space="0" w:color="BFC9C0"/>
              <w:right w:val="single" w:sz="2" w:space="0" w:color="BFC9C0"/>
            </w:tcBorders>
            <w:shd w:val="clear" w:color="auto" w:fill="FFFFFF"/>
          </w:tcPr>
          <w:p w14:paraId="567B969A" w14:textId="77777777" w:rsidR="00CD5946" w:rsidRDefault="00000000">
            <w:pPr>
              <w:spacing w:after="0"/>
            </w:pPr>
            <w:r>
              <w:rPr>
                <w:rFonts w:ascii="Arial" w:eastAsia="Arial" w:hAnsi="Arial"/>
                <w:b/>
                <w:bCs/>
                <w:color w:val="15512F"/>
                <w:sz w:val="18"/>
                <w:szCs w:val="18"/>
              </w:rPr>
              <w:t>Unexpected deviation</w:t>
            </w:r>
          </w:p>
        </w:tc>
        <w:tc>
          <w:tcPr>
            <w:tcW w:w="6760" w:type="dxa"/>
            <w:tcBorders>
              <w:top w:val="single" w:sz="2" w:space="0" w:color="BFC9C0"/>
              <w:left w:val="single" w:sz="2" w:space="0" w:color="BFC9C0"/>
              <w:bottom w:val="single" w:sz="2" w:space="0" w:color="BFC9C0"/>
              <w:right w:val="single" w:sz="2" w:space="0" w:color="BFC9C0"/>
            </w:tcBorders>
            <w:shd w:val="clear" w:color="auto" w:fill="FFFFFF"/>
          </w:tcPr>
          <w:p w14:paraId="5E4D766C" w14:textId="77777777" w:rsidR="00CD5946" w:rsidRDefault="00000000">
            <w:pPr>
              <w:spacing w:after="0"/>
            </w:pPr>
            <w:r>
              <w:rPr>
                <w:rFonts w:ascii="Arial" w:eastAsia="Arial" w:hAnsi="Arial"/>
                <w:color w:val="1A1A1A"/>
                <w:sz w:val="18"/>
                <w:szCs w:val="18"/>
              </w:rPr>
              <w:t xml:space="preserve">A deviation from the registered process or analytical method, not anticipated and not the result of a planned change, requiring investigation before any disposition. / </w:t>
            </w:r>
            <w:r>
              <w:rPr>
                <w:rFonts w:ascii="Arial" w:eastAsia="Arial" w:hAnsi="Arial"/>
                <w:color w:val="1A1A1A"/>
                <w:sz w:val="18"/>
                <w:szCs w:val="18"/>
                <w:rtl/>
              </w:rPr>
              <w:t>انحراف غير متوقّع يتطلّب تحقيقاً قبل البتّ</w:t>
            </w:r>
            <w:r>
              <w:rPr>
                <w:rFonts w:ascii="Arial" w:eastAsia="Arial" w:hAnsi="Arial"/>
                <w:color w:val="1A1A1A"/>
                <w:sz w:val="18"/>
                <w:szCs w:val="18"/>
              </w:rPr>
              <w:t>.</w:t>
            </w:r>
          </w:p>
        </w:tc>
      </w:tr>
    </w:tbl>
    <w:p w14:paraId="0C374F2B" w14:textId="77777777" w:rsidR="00CD5946" w:rsidRDefault="00000000">
      <w:pPr>
        <w:spacing w:before="260" w:after="0"/>
        <w:jc w:val="center"/>
      </w:pPr>
      <w:r>
        <w:rPr>
          <w:noProof/>
        </w:rPr>
        <w:drawing>
          <wp:inline distT="0" distB="0" distL="0" distR="0" wp14:anchorId="0F8BBFF7" wp14:editId="7F502597">
            <wp:extent cx="876300" cy="1238250"/>
            <wp:effectExtent l="0" t="0" r="0" b="0"/>
            <wp:docPr id="16" name="Image15"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40E4DB52" w14:textId="77777777" w:rsidR="00CD5946" w:rsidRDefault="00000000">
      <w:pPr>
        <w:spacing w:before="50" w:after="0"/>
        <w:jc w:val="center"/>
      </w:pPr>
      <w:r>
        <w:rPr>
          <w:rFonts w:ascii="Arial" w:eastAsia="Arial" w:hAnsi="Arial"/>
          <w:b/>
          <w:bCs/>
          <w:color w:val="15512F"/>
          <w:sz w:val="19"/>
          <w:szCs w:val="19"/>
        </w:rPr>
        <w:t>AUPAM EXPERTS' OFFICE</w:t>
      </w:r>
    </w:p>
    <w:p w14:paraId="26BEA332"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7A8776CC" w14:textId="77777777" w:rsidR="00CD5946" w:rsidRDefault="00000000">
      <w:pPr>
        <w:spacing w:before="10" w:after="0"/>
        <w:jc w:val="center"/>
      </w:pPr>
      <w:r>
        <w:rPr>
          <w:rFonts w:ascii="Arial" w:eastAsia="Arial" w:hAnsi="Arial"/>
          <w:b/>
          <w:bCs/>
          <w:color w:val="B08C37"/>
          <w:sz w:val="24"/>
          <w:szCs w:val="24"/>
        </w:rPr>
        <w:t>2026 EDITION</w:t>
      </w:r>
    </w:p>
    <w:p w14:paraId="39E574CF" w14:textId="77777777" w:rsidR="00CD5946" w:rsidRDefault="00000000">
      <w:pPr>
        <w:spacing w:before="260" w:after="0"/>
        <w:jc w:val="center"/>
      </w:pPr>
      <w:r>
        <w:rPr>
          <w:rFonts w:ascii="Arial" w:eastAsia="Arial" w:hAnsi="Arial"/>
          <w:b/>
          <w:bCs/>
          <w:color w:val="15512F"/>
          <w:sz w:val="54"/>
          <w:szCs w:val="54"/>
        </w:rPr>
        <w:t>ANNEX 17</w:t>
      </w:r>
    </w:p>
    <w:p w14:paraId="32BEF70D" w14:textId="77777777" w:rsidR="00CD5946" w:rsidRDefault="00000000">
      <w:pPr>
        <w:spacing w:before="40" w:after="0"/>
        <w:jc w:val="center"/>
      </w:pPr>
      <w:r>
        <w:rPr>
          <w:rFonts w:ascii="Arial" w:eastAsia="Arial" w:hAnsi="Arial"/>
          <w:b/>
          <w:bCs/>
          <w:color w:val="1A1A1A"/>
          <w:sz w:val="28"/>
          <w:szCs w:val="28"/>
        </w:rPr>
        <w:t>Real-Time Release Testing and Parametric Release</w:t>
      </w:r>
    </w:p>
    <w:p w14:paraId="63187CFF" w14:textId="77777777" w:rsidR="00CD5946" w:rsidRDefault="00000000">
      <w:pPr>
        <w:spacing w:before="16" w:after="0"/>
        <w:jc w:val="center"/>
      </w:pPr>
      <w:r>
        <w:rPr>
          <w:rFonts w:ascii="Arial" w:eastAsia="Arial" w:hAnsi="Arial"/>
          <w:color w:val="5A5A5A"/>
          <w:sz w:val="22"/>
          <w:szCs w:val="22"/>
        </w:rPr>
        <w:t>RTRT · parametric release · PAT · EN | AR</w:t>
      </w:r>
    </w:p>
    <w:p w14:paraId="3D802338" w14:textId="77777777" w:rsidR="00CD5946" w:rsidRDefault="00000000">
      <w:pPr>
        <w:spacing w:before="26" w:after="0"/>
        <w:jc w:val="center"/>
      </w:pPr>
      <w:r>
        <w:rPr>
          <w:rFonts w:ascii="Arial" w:eastAsia="Arial" w:hAnsi="Arial"/>
          <w:b/>
          <w:bCs/>
          <w:color w:val="15512F"/>
          <w:sz w:val="22"/>
          <w:szCs w:val="22"/>
          <w:rtl/>
        </w:rPr>
        <w:t>الملحق ⁦</w:t>
      </w:r>
      <w:r>
        <w:rPr>
          <w:rFonts w:ascii="Arial" w:eastAsia="Arial" w:hAnsi="Arial"/>
          <w:b/>
          <w:bCs/>
          <w:color w:val="15512F"/>
          <w:sz w:val="22"/>
          <w:szCs w:val="22"/>
        </w:rPr>
        <w:t>17 —</w:t>
      </w:r>
      <w:r>
        <w:rPr>
          <w:rFonts w:ascii="Arial" w:eastAsia="Arial" w:hAnsi="Arial"/>
          <w:b/>
          <w:bCs/>
          <w:color w:val="15512F"/>
          <w:sz w:val="22"/>
          <w:szCs w:val="22"/>
          <w:rtl/>
        </w:rPr>
        <w:t>⁩ الإفراج الآني والبارامتري</w:t>
      </w:r>
    </w:p>
    <w:p w14:paraId="77D3FA5A"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1A3834D3" w14:textId="77777777" w:rsidR="00CD5946" w:rsidRDefault="00000000">
      <w:r>
        <w:br w:type="page"/>
      </w:r>
    </w:p>
    <w:p w14:paraId="794F4C4E" w14:textId="77777777" w:rsidR="00CD5946" w:rsidRDefault="00000000">
      <w:pPr>
        <w:pStyle w:val="Heading1"/>
        <w:spacing w:before="0"/>
      </w:pPr>
      <w:bookmarkStart w:id="223" w:name="__RefHeading___Toc9603_1729075678"/>
      <w:bookmarkEnd w:id="223"/>
      <w:r>
        <w:lastRenderedPageBreak/>
        <w:t>Contents</w:t>
      </w:r>
    </w:p>
    <w:sdt>
      <w:sdtPr>
        <w:id w:val="-1896262651"/>
        <w:docPartObj>
          <w:docPartGallery w:val="Table of Contents"/>
          <w:docPartUnique/>
        </w:docPartObj>
      </w:sdtPr>
      <w:sdtContent>
        <w:p w14:paraId="722F3B60"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1905D993"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10788E15"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7BEF7F83"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2DFBB429"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2C3B4E34"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7A33FB67"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37408871"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41BF31CA"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5EE5EAF2"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35733A94"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209B127D"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78210D43"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2706CAF6"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4AA51084"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397766EE"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34B47D2C"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0B32CA1E"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36809F2A"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7F66E5EC"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298F7C82"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00A83EC1"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517C1614"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2067DE4D"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4BC7F787"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516FE1CA"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4C35E3DD"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4A737B30"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4B49BB7A"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66AA0565"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239DD7DF"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796F5A3A"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3FE56991"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5F0FBB50"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7991CB85"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693996E3"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615E801E"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0165F032"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3EBC53DA"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59E9BA0C"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76933A38"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092D6AB6"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2E637F0B"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3A0D81F1"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333ED630"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0CABCEE6"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362D10C4"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79E9066B"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7BA82131"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7C0E4B69"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4B6FE9AA"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1F63F59A"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58D1DC6D"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06022661"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1B87167B"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28762BDA"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587D0264"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4ED19902"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59E7C408"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2B584CBC"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75849C5D"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7B6F9457"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029AD7DA"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09577E9F"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7CA1449F"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51D274B3"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11D3C5C8"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04573977"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2144395D"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515961ED"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6D0EA354"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659CAC5F"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468DB737"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45BA98BD" w14:textId="77777777" w:rsidR="00CD5946" w:rsidRDefault="00CD5946"/>
    <w:p w14:paraId="228269BF" w14:textId="77777777" w:rsidR="00CD5946" w:rsidRDefault="00000000">
      <w:pPr>
        <w:pStyle w:val="Heading1"/>
      </w:pPr>
      <w:bookmarkStart w:id="224" w:name="__RefHeading___Toc9605_1729075678"/>
      <w:bookmarkEnd w:id="224"/>
      <w:r>
        <w:t xml:space="preserve">Annex 17 — Real-Time Release Testing and Parametric Release  ·  </w:t>
      </w:r>
      <w:r>
        <w:rPr>
          <w:rtl/>
        </w:rPr>
        <w:t xml:space="preserve">الملحق </w:t>
      </w:r>
      <w:r>
        <w:t>17</w:t>
      </w:r>
      <w:r>
        <w:rPr>
          <w:rtl/>
        </w:rPr>
        <w:t xml:space="preserve"> — الإفراج الآني والإفراج البارامتري</w:t>
      </w:r>
    </w:p>
    <w:p w14:paraId="001F8B20" w14:textId="77777777" w:rsidR="00CD5946" w:rsidRDefault="00000000">
      <w:pPr>
        <w:spacing w:before="10" w:after="150"/>
      </w:pPr>
      <w:r>
        <w:rPr>
          <w:rFonts w:ascii="Arial" w:eastAsia="Arial" w:hAnsi="Arial"/>
          <w:b/>
          <w:bCs/>
          <w:color w:val="C8A24B"/>
          <w:sz w:val="17"/>
          <w:szCs w:val="17"/>
        </w:rPr>
        <w:t xml:space="preserve">Harmonised with: </w:t>
      </w:r>
      <w:r>
        <w:rPr>
          <w:rFonts w:ascii="Arial" w:eastAsia="Arial" w:hAnsi="Arial"/>
          <w:i/>
          <w:iCs/>
          <w:color w:val="5A5A5A"/>
          <w:sz w:val="17"/>
          <w:szCs w:val="17"/>
        </w:rPr>
        <w:t>EU GMP Annex 17 (2018) · SFDA GMP Guide v4.4 · PIC/S PE 009-17 Annex 17 · ICH Q8(R2), Q9(R1), Q10 · ICH Q13 (continuous manufacturing) · Annex 1 (sterilisation) · Annex 15</w:t>
      </w:r>
    </w:p>
    <w:p w14:paraId="5528E9B8" w14:textId="77777777" w:rsidR="00CD5946" w:rsidRDefault="00000000">
      <w:pPr>
        <w:pBdr>
          <w:left w:val="single" w:sz="16" w:space="8" w:color="C8A24B"/>
        </w:pBdr>
        <w:spacing w:after="40"/>
        <w:ind w:left="160"/>
      </w:pPr>
      <w:r>
        <w:rPr>
          <w:rFonts w:ascii="Arial" w:eastAsia="Arial" w:hAnsi="Arial"/>
          <w:b/>
          <w:bCs/>
          <w:color w:val="C8A24B"/>
        </w:rPr>
        <w:t xml:space="preserve">Principle.  </w:t>
      </w:r>
      <w:r>
        <w:rPr>
          <w:rFonts w:ascii="Arial" w:eastAsia="Arial" w:hAnsi="Arial"/>
          <w:color w:val="1A1A1A"/>
        </w:rPr>
        <w:t>Real-Time Release Testing (RTRT) is the ability to evaluate and ensure the quality of in-process and/or final product based on process data, which typically include a valid combination of measured material attributes and process controls, in lieu of an end-product test. Parametric release is a form of RTRT for the release of terminally-sterilised product based on the documented evidence of a validated sterilisation cycle in place of the sterility test. Both rest on a thorough understanding of the process and the product, a robust control strategy and full compliance with GMP, and shall be approved by the competent authority before use.</w:t>
      </w:r>
    </w:p>
    <w:p w14:paraId="1D9B204C" w14:textId="77777777" w:rsidR="00CD5946" w:rsidRDefault="00000000">
      <w:pPr>
        <w:bidi/>
        <w:spacing w:after="150"/>
        <w:ind w:right="160"/>
        <w:jc w:val="right"/>
      </w:pPr>
      <w:r>
        <w:rPr>
          <w:rFonts w:ascii="Arial" w:eastAsia="Arial" w:hAnsi="Arial"/>
          <w:b/>
          <w:bCs/>
          <w:color w:val="C8A24B"/>
          <w:sz w:val="20"/>
          <w:szCs w:val="20"/>
          <w:rtl/>
        </w:rPr>
        <w:t xml:space="preserve">المبدأ. </w:t>
      </w:r>
      <w:r>
        <w:rPr>
          <w:rFonts w:ascii="Arial" w:eastAsia="Arial" w:hAnsi="Arial"/>
          <w:color w:val="333333"/>
          <w:sz w:val="20"/>
          <w:szCs w:val="20"/>
          <w:rtl/>
        </w:rPr>
        <w:t>الإفراج الآني (</w:t>
      </w:r>
      <w:r>
        <w:rPr>
          <w:rFonts w:ascii="Arial" w:eastAsia="Arial" w:hAnsi="Arial"/>
          <w:color w:val="333333"/>
          <w:sz w:val="20"/>
          <w:szCs w:val="20"/>
        </w:rPr>
        <w:t>RTRT</w:t>
      </w:r>
      <w:r>
        <w:rPr>
          <w:rFonts w:ascii="Arial" w:eastAsia="Arial" w:hAnsi="Arial"/>
          <w:color w:val="333333"/>
          <w:sz w:val="20"/>
          <w:szCs w:val="20"/>
          <w:rtl/>
        </w:rPr>
        <w:t>) هو القدرة على تقييم وضمان جودة المنتج أثناء العملية و/أو النهائي بناءً على بيانات العملية — مزيج صالح من سمات المواد وضوابط العملية — بدلاً من اختبار المنتج النهائي. والإفراج البارامتري صورة منه لإفراج المنتج المعقّم نهائيّاً استناداً إلى دورة تعقيم مُتحقّقة بدلاً من اختبار التعقيم. وكلاهما يعتمد على فهم عميق للعملية واستراتيجية ضبط رصينة، ويتطلّب موافقة السلطة قبل الاستخدام.</w:t>
      </w:r>
    </w:p>
    <w:p w14:paraId="6332CD69" w14:textId="77777777" w:rsidR="00CD5946" w:rsidRDefault="00000000">
      <w:pPr>
        <w:pBdr>
          <w:left w:val="single" w:sz="10" w:space="8" w:color="CFCFCF"/>
        </w:pBdr>
        <w:spacing w:before="60" w:after="30"/>
        <w:ind w:left="160"/>
      </w:pPr>
      <w:r>
        <w:rPr>
          <w:rFonts w:ascii="Arial" w:eastAsia="Arial" w:hAnsi="Arial"/>
          <w:b/>
          <w:bCs/>
          <w:color w:val="15512F"/>
          <w:sz w:val="20"/>
          <w:szCs w:val="20"/>
        </w:rPr>
        <w:t xml:space="preserve">Scope.  </w:t>
      </w:r>
      <w:r>
        <w:rPr>
          <w:rFonts w:ascii="Arial" w:eastAsia="Arial" w:hAnsi="Arial"/>
          <w:color w:val="1A1A1A"/>
          <w:sz w:val="20"/>
          <w:szCs w:val="20"/>
        </w:rPr>
        <w:t>This Annex applies where a manufacturer seeks to release in-process or finished product on the basis of RTRT, including parametric release of terminally-sterilised products. It is read together with Annex 1 (sterilisation), Annex 15 (validation) and the ICH Q8–Q10 framework.</w:t>
      </w:r>
    </w:p>
    <w:p w14:paraId="2EFF3220" w14:textId="77777777" w:rsidR="00CD5946" w:rsidRDefault="00000000">
      <w:pPr>
        <w:bidi/>
        <w:spacing w:after="150"/>
        <w:ind w:right="160"/>
        <w:jc w:val="right"/>
      </w:pPr>
      <w:r>
        <w:rPr>
          <w:rFonts w:ascii="Arial" w:eastAsia="Arial" w:hAnsi="Arial"/>
          <w:b/>
          <w:bCs/>
          <w:color w:val="15512F"/>
          <w:sz w:val="20"/>
          <w:szCs w:val="20"/>
          <w:rtl/>
        </w:rPr>
        <w:t xml:space="preserve">النطاق. </w:t>
      </w:r>
      <w:r>
        <w:rPr>
          <w:rFonts w:ascii="Arial" w:eastAsia="Arial" w:hAnsi="Arial"/>
          <w:color w:val="333333"/>
          <w:sz w:val="20"/>
          <w:szCs w:val="20"/>
          <w:rtl/>
        </w:rPr>
        <w:t xml:space="preserve">ينطبق حيث يسعى المصنّع للإفراج بناءً على </w:t>
      </w:r>
      <w:r>
        <w:rPr>
          <w:rFonts w:ascii="Arial" w:eastAsia="Arial" w:hAnsi="Arial"/>
          <w:color w:val="333333"/>
          <w:sz w:val="20"/>
          <w:szCs w:val="20"/>
        </w:rPr>
        <w:t>RTRT</w:t>
      </w:r>
      <w:r>
        <w:rPr>
          <w:rFonts w:ascii="Arial" w:eastAsia="Arial" w:hAnsi="Arial"/>
          <w:color w:val="333333"/>
          <w:sz w:val="20"/>
          <w:szCs w:val="20"/>
          <w:rtl/>
        </w:rPr>
        <w:t>، بما فيه الإفراج البارامتري للمنتجات المعقّمة نهائيّاً، ويُقرأ مع الملحق ⁦</w:t>
      </w:r>
      <w:r>
        <w:rPr>
          <w:rFonts w:ascii="Arial" w:eastAsia="Arial" w:hAnsi="Arial"/>
          <w:color w:val="333333"/>
          <w:sz w:val="20"/>
          <w:szCs w:val="20"/>
        </w:rPr>
        <w:t>1</w:t>
      </w:r>
      <w:r>
        <w:rPr>
          <w:rFonts w:ascii="Arial" w:eastAsia="Arial" w:hAnsi="Arial"/>
          <w:color w:val="333333"/>
          <w:sz w:val="20"/>
          <w:szCs w:val="20"/>
          <w:rtl/>
        </w:rPr>
        <w:t>⁩ والملحق ⁦</w:t>
      </w:r>
      <w:r>
        <w:rPr>
          <w:rFonts w:ascii="Arial" w:eastAsia="Arial" w:hAnsi="Arial"/>
          <w:color w:val="333333"/>
          <w:sz w:val="20"/>
          <w:szCs w:val="20"/>
        </w:rPr>
        <w:t>15</w:t>
      </w:r>
      <w:r>
        <w:rPr>
          <w:rFonts w:ascii="Arial" w:eastAsia="Arial" w:hAnsi="Arial"/>
          <w:color w:val="333333"/>
          <w:sz w:val="20"/>
          <w:szCs w:val="20"/>
          <w:rtl/>
        </w:rPr>
        <w:t xml:space="preserve">⁩ وإطار </w:t>
      </w:r>
      <w:r>
        <w:rPr>
          <w:rFonts w:ascii="Arial" w:eastAsia="Arial" w:hAnsi="Arial"/>
          <w:color w:val="333333"/>
          <w:sz w:val="20"/>
          <w:szCs w:val="20"/>
        </w:rPr>
        <w:t>ICH Q</w:t>
      </w:r>
      <w:r>
        <w:rPr>
          <w:rFonts w:ascii="Arial" w:eastAsia="Arial" w:hAnsi="Arial"/>
          <w:color w:val="333333"/>
          <w:sz w:val="20"/>
          <w:szCs w:val="20"/>
          <w:rtl/>
        </w:rPr>
        <w:t>⁦</w:t>
      </w:r>
      <w:r>
        <w:rPr>
          <w:rFonts w:ascii="Arial" w:eastAsia="Arial" w:hAnsi="Arial"/>
          <w:color w:val="333333"/>
          <w:sz w:val="20"/>
          <w:szCs w:val="20"/>
        </w:rPr>
        <w:t>8–Q10.</w:t>
      </w:r>
      <w:r>
        <w:rPr>
          <w:rFonts w:ascii="Arial" w:eastAsia="Arial" w:hAnsi="Arial"/>
          <w:color w:val="333333"/>
          <w:sz w:val="20"/>
          <w:szCs w:val="20"/>
          <w:rtl/>
        </w:rPr>
        <w:t>⁩</w:t>
      </w:r>
    </w:p>
    <w:p w14:paraId="0F32CE91" w14:textId="77777777" w:rsidR="00CD5946" w:rsidRDefault="00000000">
      <w:pPr>
        <w:pStyle w:val="Heading2"/>
        <w:spacing w:before="220"/>
      </w:pPr>
      <w:bookmarkStart w:id="225" w:name="__RefHeading___Toc9607_1729075678"/>
      <w:bookmarkEnd w:id="225"/>
      <w:r>
        <w:t>1.  Requirements for RTRT and parametric release</w:t>
      </w:r>
      <w:r>
        <w:rPr>
          <w:b w:val="0"/>
          <w:bCs w:val="0"/>
          <w:color w:val="1A1A1A"/>
          <w:sz w:val="21"/>
          <w:szCs w:val="21"/>
        </w:rPr>
        <w:t xml:space="preserve">   </w:t>
      </w:r>
      <w:r>
        <w:rPr>
          <w:color w:val="C8A24B"/>
          <w:sz w:val="20"/>
          <w:szCs w:val="20"/>
          <w:rtl/>
        </w:rPr>
        <w:t>متطلبات</w:t>
      </w:r>
      <w:r>
        <w:rPr>
          <w:color w:val="C8A24B"/>
          <w:sz w:val="20"/>
          <w:szCs w:val="20"/>
        </w:rPr>
        <w:t xml:space="preserve"> RTRT </w:t>
      </w:r>
      <w:r>
        <w:rPr>
          <w:color w:val="C8A24B"/>
          <w:sz w:val="20"/>
          <w:szCs w:val="20"/>
          <w:rtl/>
        </w:rPr>
        <w:t>والإفراج البارامتري</w:t>
      </w:r>
    </w:p>
    <w:p w14:paraId="2B2B5B75" w14:textId="77777777" w:rsidR="00CD5946" w:rsidRDefault="00000000">
      <w:pPr>
        <w:spacing w:after="40" w:line="266" w:lineRule="auto"/>
        <w:ind w:left="300" w:hanging="300"/>
      </w:pPr>
      <w:r>
        <w:rPr>
          <w:rFonts w:ascii="Arial" w:eastAsia="Arial" w:hAnsi="Arial"/>
          <w:b/>
          <w:bCs/>
          <w:color w:val="15512F"/>
        </w:rPr>
        <w:t xml:space="preserve">17.1  </w:t>
      </w:r>
      <w:r>
        <w:rPr>
          <w:rFonts w:ascii="Arial" w:eastAsia="Arial" w:hAnsi="Arial"/>
          <w:color w:val="1A1A1A"/>
        </w:rPr>
        <w:t xml:space="preserve">RTRT shall be based on a validated control strategy in which the measured material attributes and process parameters are demonstrated, scientifically and through process validation, to be reliable predictors of the corresponding quality attributes. The measurement systems (including process-analytical-technology instruments) shall be qualified and maintained, and a defined </w:t>
        <w:lastRenderedPageBreak/>
        <w:t>procedure shall specify the action to be taken when a process or in-line measurement fails, including the availability and use of the corresponding end-product test as a fallback where justified.</w:t>
      </w:r>
    </w:p>
    <w:p w14:paraId="3960559F"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يستند </w:t>
      </w:r>
      <w:r>
        <w:rPr>
          <w:rFonts w:ascii="Arial" w:eastAsia="Arial" w:hAnsi="Arial"/>
          <w:color w:val="333333"/>
          <w:sz w:val="20"/>
          <w:szCs w:val="20"/>
        </w:rPr>
        <w:t>RTRT</w:t>
      </w:r>
      <w:r>
        <w:rPr>
          <w:rFonts w:ascii="Arial" w:eastAsia="Arial" w:hAnsi="Arial"/>
          <w:color w:val="333333"/>
          <w:sz w:val="20"/>
          <w:szCs w:val="20"/>
          <w:rtl/>
        </w:rPr>
        <w:t xml:space="preserve"> إلى استراتيجية ضبط مُتحقّقة تُثبت فيها — علميّاً وبالتحقّق — أنّ سمات المواد ومتغيّرات العملية مُنبئات موثوقة لسمات الجودة. وتُؤهّل أنظمة القياس (ومنها أدوات تقنية التحليل أثناء العملية) وتُصان، ويُحدّد إجراء للتصرّف عند إخفاق القياس، بما في ذلك توافر اختبار المنتج النهائي كبديل عند التبرير.</w:t>
      </w:r>
      <w:r>
        <w:rPr>
          <w:rFonts w:ascii="Arial" w:eastAsia="Arial" w:hAnsi="Arial"/>
          <w:b/>
          <w:bCs/>
          <w:color w:val="15512F"/>
          <w:sz w:val="20"/>
          <w:szCs w:val="20"/>
          <w:rtl/>
        </w:rPr>
        <w:t xml:space="preserve">  ⁦</w:t>
      </w:r>
      <w:r>
        <w:rPr>
          <w:rFonts w:ascii="Arial" w:eastAsia="Arial" w:hAnsi="Arial"/>
          <w:b/>
          <w:bCs/>
          <w:color w:val="15512F"/>
          <w:sz w:val="20"/>
          <w:szCs w:val="20"/>
        </w:rPr>
        <w:t>17.1</w:t>
      </w:r>
      <w:r>
        <w:rPr>
          <w:rFonts w:ascii="Arial" w:eastAsia="Arial" w:hAnsi="Arial"/>
          <w:b/>
          <w:bCs/>
          <w:color w:val="15512F"/>
          <w:sz w:val="20"/>
          <w:szCs w:val="20"/>
          <w:rtl/>
        </w:rPr>
        <w:t>⁩</w:t>
      </w:r>
    </w:p>
    <w:p w14:paraId="3FC17E7E" w14:textId="77777777" w:rsidR="00CD5946" w:rsidRDefault="00000000">
      <w:pPr>
        <w:spacing w:after="40" w:line="266" w:lineRule="auto"/>
        <w:ind w:left="300" w:hanging="300"/>
      </w:pPr>
      <w:r>
        <w:rPr>
          <w:rFonts w:ascii="Arial" w:eastAsia="Arial" w:hAnsi="Arial"/>
          <w:b/>
          <w:bCs/>
          <w:color w:val="15512F"/>
        </w:rPr>
        <w:t xml:space="preserve">17.2  </w:t>
      </w:r>
      <w:r>
        <w:rPr>
          <w:rFonts w:ascii="Arial" w:eastAsia="Arial" w:hAnsi="Arial"/>
          <w:color w:val="1A1A1A"/>
        </w:rPr>
        <w:t>Parametric release of a terminally-sterilised product may replace the sterility test where the sterilisation process has been validated and is routinely monitored against the critical parameters (for example F0, temperature, time, and — where applicable — the load and bioburden), the data are reviewed and approved by the Authorised/Qualified Person, and the bioburden before sterilisation is controlled. Parametric release shall not be applied to aseptically-processed products.</w:t>
      </w:r>
    </w:p>
    <w:p w14:paraId="7D1E776B" w14:textId="77777777" w:rsidR="00CD5946" w:rsidRDefault="00000000">
      <w:pPr>
        <w:bidi/>
        <w:spacing w:after="150" w:line="300" w:lineRule="auto"/>
        <w:ind w:right="300" w:hanging="300"/>
        <w:jc w:val="right"/>
      </w:pPr>
      <w:r>
        <w:rPr>
          <w:rFonts w:ascii="Arial" w:eastAsia="Arial" w:hAnsi="Arial"/>
          <w:color w:val="333333"/>
          <w:sz w:val="20"/>
          <w:szCs w:val="20"/>
          <w:rtl/>
        </w:rPr>
        <w:t>قد يحلّ الإفراج البارامتري للمنتج المعقّم نهائيّاً محلّ اختبار التعقيم حيث تُتحقّق دورة التعقيم وتُراقَب روتينيّاً مقابل المتغيّرات الحرجة (</w:t>
      </w:r>
      <w:r>
        <w:rPr>
          <w:rFonts w:ascii="Arial" w:eastAsia="Arial" w:hAnsi="Arial"/>
          <w:color w:val="333333"/>
          <w:sz w:val="20"/>
          <w:szCs w:val="20"/>
        </w:rPr>
        <w:t>F</w:t>
      </w:r>
      <w:r>
        <w:rPr>
          <w:rFonts w:ascii="Arial" w:eastAsia="Arial" w:hAnsi="Arial"/>
          <w:color w:val="333333"/>
          <w:sz w:val="20"/>
          <w:szCs w:val="20"/>
          <w:rtl/>
        </w:rPr>
        <w:t>⁦</w:t>
      </w:r>
      <w:r>
        <w:rPr>
          <w:rFonts w:ascii="Arial" w:eastAsia="Arial" w:hAnsi="Arial"/>
          <w:color w:val="333333"/>
          <w:sz w:val="20"/>
          <w:szCs w:val="20"/>
        </w:rPr>
        <w:t>0</w:t>
      </w:r>
      <w:r>
        <w:rPr>
          <w:rFonts w:ascii="Arial" w:eastAsia="Arial" w:hAnsi="Arial"/>
          <w:color w:val="333333"/>
          <w:sz w:val="20"/>
          <w:szCs w:val="20"/>
          <w:rtl/>
        </w:rPr>
        <w:t>⁩ والحرارة والزمن والحمولة والحمل الميكروبي)، وتُراجَع وتُعتمد من الشخص المؤهّل، ويُضبط الحمل قبل التعقيم. ولا يُطبّق على المنتجات المُعالَجة بأسلوب عقيم.</w:t>
      </w:r>
      <w:r>
        <w:rPr>
          <w:rFonts w:ascii="Arial" w:eastAsia="Arial" w:hAnsi="Arial"/>
          <w:b/>
          <w:bCs/>
          <w:color w:val="15512F"/>
          <w:sz w:val="20"/>
          <w:szCs w:val="20"/>
          <w:rtl/>
        </w:rPr>
        <w:t xml:space="preserve">  ⁦</w:t>
      </w:r>
      <w:r>
        <w:rPr>
          <w:rFonts w:ascii="Arial" w:eastAsia="Arial" w:hAnsi="Arial"/>
          <w:b/>
          <w:bCs/>
          <w:color w:val="15512F"/>
          <w:sz w:val="20"/>
          <w:szCs w:val="20"/>
        </w:rPr>
        <w:t>17.2</w:t>
      </w:r>
      <w:r>
        <w:rPr>
          <w:rFonts w:ascii="Arial" w:eastAsia="Arial" w:hAnsi="Arial"/>
          <w:b/>
          <w:bCs/>
          <w:color w:val="15512F"/>
          <w:sz w:val="20"/>
          <w:szCs w:val="20"/>
          <w:rtl/>
        </w:rPr>
        <w:t>⁩</w:t>
      </w:r>
    </w:p>
    <w:p w14:paraId="14D8474C" w14:textId="77777777" w:rsidR="00CD5946" w:rsidRDefault="00000000">
      <w:pPr>
        <w:pBdr>
          <w:left w:val="single" w:sz="6" w:space="8" w:color="CFCFCF"/>
        </w:pBd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RTRT does not lower the standard of quality — the product must still meet the registered specification. It moves the assurance upstream, from a single end-point test on a few units to continuous, validated control of the whole batch; the registered specification and the right to perform the end-product test are retained.</w:t>
      </w:r>
    </w:p>
    <w:p w14:paraId="4833F92A" w14:textId="77777777" w:rsidR="00CD5946" w:rsidRDefault="00000000">
      <w:pPr>
        <w:bidi/>
        <w:spacing w:after="140"/>
        <w:ind w:right="300"/>
        <w:jc w:val="right"/>
      </w:pPr>
      <w:r>
        <w:rPr>
          <w:rFonts w:ascii="Arial" w:eastAsia="Arial" w:hAnsi="Arial"/>
          <w:color w:val="5A5A5A"/>
          <w:sz w:val="18"/>
          <w:szCs w:val="18"/>
          <w:rtl/>
        </w:rPr>
        <w:t xml:space="preserve">لا يخفّض </w:t>
      </w:r>
      <w:r>
        <w:rPr>
          <w:rFonts w:ascii="Arial" w:eastAsia="Arial" w:hAnsi="Arial"/>
          <w:color w:val="5A5A5A"/>
          <w:sz w:val="18"/>
          <w:szCs w:val="18"/>
        </w:rPr>
        <w:t>RTRT</w:t>
      </w:r>
      <w:r>
        <w:rPr>
          <w:rFonts w:ascii="Arial" w:eastAsia="Arial" w:hAnsi="Arial"/>
          <w:color w:val="5A5A5A"/>
          <w:sz w:val="18"/>
          <w:szCs w:val="18"/>
          <w:rtl/>
        </w:rPr>
        <w:t xml:space="preserve"> مستوى الجودة؛ فالمنتج يجب أن يستوفي المواصفة المُسجّلة. بل ينقل الضمان إلى أعلى العملية — من اختبار نهائي واحد على وحدات قليلة إلى ضبط مستمر مُتحقّق للدفعة بأكملها؛ مع الاحتفاظ بالمواصفة وبحقّ إجراء اختبار المنتج النهائي.</w:t>
      </w:r>
      <w:r>
        <w:rPr>
          <w:rFonts w:ascii="Arial" w:eastAsia="Arial" w:hAnsi="Arial"/>
          <w:b/>
          <w:bCs/>
          <w:color w:val="5A5A5A"/>
          <w:sz w:val="18"/>
          <w:szCs w:val="18"/>
          <w:rtl/>
        </w:rPr>
        <w:t xml:space="preserve">  ملاحظة.</w:t>
      </w:r>
    </w:p>
    <w:p w14:paraId="0CEA8FD6" w14:textId="77777777" w:rsidR="00CD5946" w:rsidRDefault="00000000">
      <w:pPr>
        <w:pStyle w:val="Heading2"/>
        <w:spacing w:before="220"/>
      </w:pPr>
      <w:bookmarkStart w:id="226" w:name="__RefHeading___Toc9609_1729075678"/>
      <w:bookmarkEnd w:id="226"/>
      <w:r>
        <w:t>2.  Glossary (Annex 17)</w:t>
      </w:r>
      <w:r>
        <w:rPr>
          <w:b w:val="0"/>
          <w:bCs w:val="0"/>
          <w:color w:val="1A1A1A"/>
          <w:sz w:val="21"/>
          <w:szCs w:val="21"/>
        </w:rPr>
        <w:t xml:space="preserve">   </w:t>
      </w:r>
      <w:r>
        <w:rPr>
          <w:color w:val="C8A24B"/>
          <w:sz w:val="20"/>
          <w:szCs w:val="20"/>
          <w:rtl/>
        </w:rPr>
        <w:t>مسرد الملحق</w:t>
      </w:r>
      <w:r>
        <w:rPr>
          <w:color w:val="C8A24B"/>
          <w:sz w:val="20"/>
          <w:szCs w:val="20"/>
        </w:rPr>
        <w:t xml:space="preserve"> ⁦17⁩</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700"/>
        <w:gridCol w:w="6660"/>
      </w:tblGrid>
      <w:tr w:rsidR="00CD5946" w14:paraId="49E9DA4F" w14:textId="77777777">
        <w:trPr>
          <w:tblHeader/>
        </w:trPr>
        <w:tc>
          <w:tcPr>
            <w:tcW w:w="2700" w:type="dxa"/>
            <w:tcBorders>
              <w:top w:val="single" w:sz="2" w:space="0" w:color="BFC9C0"/>
              <w:left w:val="single" w:sz="2" w:space="0" w:color="BFC9C0"/>
              <w:bottom w:val="single" w:sz="2" w:space="0" w:color="BFC9C0"/>
              <w:right w:val="single" w:sz="2" w:space="0" w:color="BFC9C0"/>
            </w:tcBorders>
            <w:shd w:val="clear" w:color="auto" w:fill="0E5A50"/>
          </w:tcPr>
          <w:p w14:paraId="1D9CB479" w14:textId="77777777" w:rsidR="00CD5946" w:rsidRDefault="00000000">
            <w:pPr>
              <w:spacing w:after="0"/>
            </w:pPr>
            <w:r>
              <w:rPr>
                <w:rFonts w:ascii="Arial" w:eastAsia="Arial" w:hAnsi="Arial"/>
                <w:b/>
                <w:bCs/>
                <w:color w:val="FFFFFF"/>
                <w:sz w:val="18"/>
                <w:szCs w:val="18"/>
              </w:rPr>
              <w:t xml:space="preserve">Term / </w:t>
            </w:r>
            <w:r>
              <w:rPr>
                <w:rFonts w:ascii="Arial" w:eastAsia="Arial" w:hAnsi="Arial"/>
                <w:b/>
                <w:bCs/>
                <w:color w:val="FFFFFF"/>
                <w:sz w:val="18"/>
                <w:szCs w:val="18"/>
                <w:rtl/>
              </w:rPr>
              <w:t>المصطلح</w:t>
            </w:r>
          </w:p>
        </w:tc>
        <w:tc>
          <w:tcPr>
            <w:tcW w:w="6660" w:type="dxa"/>
            <w:tcBorders>
              <w:top w:val="single" w:sz="2" w:space="0" w:color="BFC9C0"/>
              <w:left w:val="single" w:sz="2" w:space="0" w:color="BFC9C0"/>
              <w:bottom w:val="single" w:sz="2" w:space="0" w:color="BFC9C0"/>
              <w:right w:val="single" w:sz="2" w:space="0" w:color="BFC9C0"/>
            </w:tcBorders>
            <w:shd w:val="clear" w:color="auto" w:fill="0E5A50"/>
          </w:tcPr>
          <w:p w14:paraId="1FC4547C" w14:textId="77777777" w:rsidR="00CD5946" w:rsidRDefault="00000000">
            <w:pPr>
              <w:spacing w:after="0"/>
            </w:pPr>
            <w:r>
              <w:rPr>
                <w:rFonts w:ascii="Arial" w:eastAsia="Arial" w:hAnsi="Arial"/>
                <w:b/>
                <w:bCs/>
                <w:color w:val="FFFFFF"/>
                <w:sz w:val="18"/>
                <w:szCs w:val="18"/>
              </w:rPr>
              <w:t xml:space="preserve">Definition / </w:t>
            </w:r>
            <w:r>
              <w:rPr>
                <w:rFonts w:ascii="Arial" w:eastAsia="Arial" w:hAnsi="Arial"/>
                <w:b/>
                <w:bCs/>
                <w:color w:val="FFFFFF"/>
                <w:sz w:val="18"/>
                <w:szCs w:val="18"/>
                <w:rtl/>
              </w:rPr>
              <w:t>التعريف</w:t>
            </w:r>
          </w:p>
        </w:tc>
      </w:tr>
      <w:tr w:rsidR="00CD5946" w14:paraId="28D28F87"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2B68EA8F" w14:textId="77777777" w:rsidR="00CD5946" w:rsidRDefault="00000000">
            <w:pPr>
              <w:spacing w:after="0"/>
            </w:pPr>
            <w:r>
              <w:rPr>
                <w:rFonts w:ascii="Arial" w:eastAsia="Arial" w:hAnsi="Arial"/>
                <w:b/>
                <w:bCs/>
                <w:color w:val="15512F"/>
                <w:sz w:val="18"/>
                <w:szCs w:val="18"/>
              </w:rPr>
              <w:t>RTRT</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72FB2BF7" w14:textId="77777777" w:rsidR="00CD5946" w:rsidRDefault="00000000">
            <w:pPr>
              <w:spacing w:after="0"/>
            </w:pPr>
            <w:r>
              <w:rPr>
                <w:rFonts w:ascii="Arial" w:eastAsia="Arial" w:hAnsi="Arial"/>
                <w:color w:val="1A1A1A"/>
                <w:sz w:val="18"/>
                <w:szCs w:val="18"/>
              </w:rPr>
              <w:t xml:space="preserve">Real-Time Release Testing: assuring quality from validated in-process data in lieu of an end-product test. / </w:t>
            </w:r>
            <w:r>
              <w:rPr>
                <w:rFonts w:ascii="Arial" w:eastAsia="Arial" w:hAnsi="Arial"/>
                <w:color w:val="1A1A1A"/>
                <w:sz w:val="18"/>
                <w:szCs w:val="18"/>
                <w:rtl/>
              </w:rPr>
              <w:t>الإفراج الآني من بيانات العملية</w:t>
            </w:r>
            <w:r>
              <w:rPr>
                <w:rFonts w:ascii="Arial" w:eastAsia="Arial" w:hAnsi="Arial"/>
                <w:color w:val="1A1A1A"/>
                <w:sz w:val="18"/>
                <w:szCs w:val="18"/>
              </w:rPr>
              <w:t>.</w:t>
            </w:r>
          </w:p>
        </w:tc>
      </w:tr>
      <w:tr w:rsidR="00CD5946" w14:paraId="5A5CFDC0"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30D8FDFE" w14:textId="77777777" w:rsidR="00CD5946" w:rsidRDefault="00000000">
            <w:pPr>
              <w:spacing w:after="0"/>
            </w:pPr>
            <w:r>
              <w:rPr>
                <w:rFonts w:ascii="Arial" w:eastAsia="Arial" w:hAnsi="Arial"/>
                <w:b/>
                <w:bCs/>
                <w:color w:val="15512F"/>
                <w:sz w:val="18"/>
                <w:szCs w:val="18"/>
              </w:rPr>
              <w:t>Parametric release</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0F94CBD9" w14:textId="77777777" w:rsidR="00CD5946" w:rsidRDefault="00000000">
            <w:pPr>
              <w:spacing w:after="0"/>
            </w:pPr>
            <w:r>
              <w:rPr>
                <w:rFonts w:ascii="Arial" w:eastAsia="Arial" w:hAnsi="Arial"/>
                <w:color w:val="1A1A1A"/>
                <w:sz w:val="18"/>
                <w:szCs w:val="18"/>
              </w:rPr>
              <w:t xml:space="preserve">RTRT for a terminally-sterilised product, based on sterilisation-cycle data in place of the sterility test. / </w:t>
            </w:r>
            <w:r>
              <w:rPr>
                <w:rFonts w:ascii="Arial" w:eastAsia="Arial" w:hAnsi="Arial"/>
                <w:color w:val="1A1A1A"/>
                <w:sz w:val="18"/>
                <w:szCs w:val="18"/>
                <w:rtl/>
              </w:rPr>
              <w:t>إفراج بارامتري بناءً على دورة التعقيم</w:t>
            </w:r>
            <w:r>
              <w:rPr>
                <w:rFonts w:ascii="Arial" w:eastAsia="Arial" w:hAnsi="Arial"/>
                <w:color w:val="1A1A1A"/>
                <w:sz w:val="18"/>
                <w:szCs w:val="18"/>
              </w:rPr>
              <w:t>.</w:t>
            </w:r>
          </w:p>
        </w:tc>
      </w:tr>
      <w:tr w:rsidR="00CD5946" w14:paraId="60F3B994"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3C7F9840" w14:textId="77777777" w:rsidR="00CD5946" w:rsidRDefault="00000000">
            <w:pPr>
              <w:spacing w:after="0"/>
            </w:pPr>
            <w:r>
              <w:rPr>
                <w:rFonts w:ascii="Arial" w:eastAsia="Arial" w:hAnsi="Arial"/>
                <w:b/>
                <w:bCs/>
                <w:color w:val="15512F"/>
                <w:sz w:val="18"/>
                <w:szCs w:val="18"/>
              </w:rPr>
              <w:t>PAT</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06009F81" w14:textId="77777777" w:rsidR="00CD5946" w:rsidRDefault="00000000">
            <w:pPr>
              <w:spacing w:after="0"/>
            </w:pPr>
            <w:r>
              <w:rPr>
                <w:rFonts w:ascii="Arial" w:eastAsia="Arial" w:hAnsi="Arial"/>
                <w:color w:val="1A1A1A"/>
                <w:sz w:val="18"/>
                <w:szCs w:val="18"/>
              </w:rPr>
              <w:t xml:space="preserve">Process Analytical Technology: systems for designing, analysing and controlling manufacturing through timely measurement. / </w:t>
            </w:r>
            <w:r>
              <w:rPr>
                <w:rFonts w:ascii="Arial" w:eastAsia="Arial" w:hAnsi="Arial"/>
                <w:color w:val="1A1A1A"/>
                <w:sz w:val="18"/>
                <w:szCs w:val="18"/>
                <w:rtl/>
              </w:rPr>
              <w:t>تقنية التحليل أثناء العملية</w:t>
            </w:r>
            <w:r>
              <w:rPr>
                <w:rFonts w:ascii="Arial" w:eastAsia="Arial" w:hAnsi="Arial"/>
                <w:color w:val="1A1A1A"/>
                <w:sz w:val="18"/>
                <w:szCs w:val="18"/>
              </w:rPr>
              <w:t>.</w:t>
            </w:r>
          </w:p>
        </w:tc>
      </w:tr>
    </w:tbl>
    <w:p w14:paraId="012358EF" w14:textId="77777777" w:rsidR="00CD5946" w:rsidRDefault="00000000">
      <w:pPr>
        <w:spacing w:before="260" w:after="0"/>
        <w:jc w:val="center"/>
      </w:pPr>
      <w:r>
        <w:rPr>
          <w:noProof/>
        </w:rPr>
        <w:drawing>
          <wp:inline distT="0" distB="0" distL="0" distR="0" wp14:anchorId="40BF2145" wp14:editId="7F6C2104">
            <wp:extent cx="876300" cy="1238250"/>
            <wp:effectExtent l="0" t="0" r="0" b="0"/>
            <wp:docPr id="17" name="Image16"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6"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44176718" w14:textId="77777777" w:rsidR="00CD5946" w:rsidRDefault="00000000">
      <w:pPr>
        <w:spacing w:before="50" w:after="0"/>
        <w:jc w:val="center"/>
      </w:pPr>
      <w:r>
        <w:rPr>
          <w:rFonts w:ascii="Arial" w:eastAsia="Arial" w:hAnsi="Arial"/>
          <w:b/>
          <w:bCs/>
          <w:color w:val="15512F"/>
          <w:sz w:val="19"/>
          <w:szCs w:val="19"/>
        </w:rPr>
        <w:t>AUPAM EXPERTS' OFFICE</w:t>
      </w:r>
    </w:p>
    <w:p w14:paraId="50DAEC3F"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79A5FABC" w14:textId="77777777" w:rsidR="00CD5946" w:rsidRDefault="00000000">
      <w:pPr>
        <w:spacing w:before="10" w:after="0"/>
        <w:jc w:val="center"/>
      </w:pPr>
      <w:r>
        <w:rPr>
          <w:rFonts w:ascii="Arial" w:eastAsia="Arial" w:hAnsi="Arial"/>
          <w:b/>
          <w:bCs/>
          <w:color w:val="B08C37"/>
          <w:sz w:val="24"/>
          <w:szCs w:val="24"/>
        </w:rPr>
        <w:t>2026 EDITION</w:t>
      </w:r>
    </w:p>
    <w:p w14:paraId="6F90F3EF" w14:textId="77777777" w:rsidR="00CD5946" w:rsidRDefault="00000000">
      <w:pPr>
        <w:spacing w:before="260" w:after="0"/>
        <w:jc w:val="center"/>
      </w:pPr>
      <w:r>
        <w:rPr>
          <w:rFonts w:ascii="Arial" w:eastAsia="Arial" w:hAnsi="Arial"/>
          <w:b/>
          <w:bCs/>
          <w:color w:val="15512F"/>
          <w:sz w:val="54"/>
          <w:szCs w:val="54"/>
        </w:rPr>
        <w:t>ANNEX 19</w:t>
      </w:r>
    </w:p>
    <w:p w14:paraId="26EAF88F" w14:textId="77777777" w:rsidR="00CD5946" w:rsidRDefault="00000000">
      <w:pPr>
        <w:spacing w:before="40" w:after="0"/>
        <w:jc w:val="center"/>
      </w:pPr>
      <w:r>
        <w:rPr>
          <w:rFonts w:ascii="Arial" w:eastAsia="Arial" w:hAnsi="Arial"/>
          <w:b/>
          <w:bCs/>
          <w:color w:val="1A1A1A"/>
          <w:sz w:val="28"/>
          <w:szCs w:val="28"/>
        </w:rPr>
        <w:t>Reference and Retention Samples</w:t>
      </w:r>
    </w:p>
    <w:p w14:paraId="1F4E4C9C" w14:textId="77777777" w:rsidR="00CD5946" w:rsidRDefault="00000000">
      <w:pPr>
        <w:spacing w:before="16" w:after="0"/>
        <w:jc w:val="center"/>
      </w:pPr>
      <w:r>
        <w:rPr>
          <w:rFonts w:ascii="Arial" w:eastAsia="Arial" w:hAnsi="Arial"/>
          <w:color w:val="5A5A5A"/>
          <w:sz w:val="22"/>
          <w:szCs w:val="22"/>
        </w:rPr>
        <w:lastRenderedPageBreak/>
        <w:t>Quantity · retention periods · storage · EN | AR</w:t>
      </w:r>
    </w:p>
    <w:p w14:paraId="19DDBB2A" w14:textId="77777777" w:rsidR="00CD5946" w:rsidRDefault="00000000">
      <w:pPr>
        <w:spacing w:before="26" w:after="0"/>
        <w:jc w:val="center"/>
      </w:pPr>
      <w:r>
        <w:rPr>
          <w:rFonts w:ascii="Arial" w:eastAsia="Arial" w:hAnsi="Arial"/>
          <w:b/>
          <w:bCs/>
          <w:color w:val="15512F"/>
          <w:sz w:val="22"/>
          <w:szCs w:val="22"/>
          <w:rtl/>
        </w:rPr>
        <w:t>الملحق ⁦</w:t>
      </w:r>
      <w:r>
        <w:rPr>
          <w:rFonts w:ascii="Arial" w:eastAsia="Arial" w:hAnsi="Arial"/>
          <w:b/>
          <w:bCs/>
          <w:color w:val="15512F"/>
          <w:sz w:val="22"/>
          <w:szCs w:val="22"/>
        </w:rPr>
        <w:t>19 —</w:t>
      </w:r>
      <w:r>
        <w:rPr>
          <w:rFonts w:ascii="Arial" w:eastAsia="Arial" w:hAnsi="Arial"/>
          <w:b/>
          <w:bCs/>
          <w:color w:val="15512F"/>
          <w:sz w:val="22"/>
          <w:szCs w:val="22"/>
          <w:rtl/>
        </w:rPr>
        <w:t>⁩ العينات المرجعية والمحتفَظ بها</w:t>
      </w:r>
    </w:p>
    <w:p w14:paraId="6A620077"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4CB8B6A3" w14:textId="77777777" w:rsidR="00CD5946" w:rsidRDefault="00000000">
      <w:r>
        <w:br w:type="page"/>
      </w:r>
    </w:p>
    <w:p w14:paraId="65436A26" w14:textId="77777777" w:rsidR="00CD5946" w:rsidRDefault="00000000">
      <w:pPr>
        <w:pStyle w:val="Heading1"/>
        <w:spacing w:before="0"/>
      </w:pPr>
      <w:bookmarkStart w:id="227" w:name="__RefHeading___Toc9611_1729075678"/>
      <w:bookmarkEnd w:id="227"/>
      <w:r>
        <w:lastRenderedPageBreak/>
        <w:t>Contents</w:t>
      </w:r>
    </w:p>
    <w:sdt>
      <w:sdtPr>
        <w:id w:val="-1712725985"/>
        <w:docPartObj>
          <w:docPartGallery w:val="Table of Contents"/>
          <w:docPartUnique/>
        </w:docPartObj>
      </w:sdtPr>
      <w:sdtContent>
        <w:p w14:paraId="664C12F6"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0F805B6F"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4A4072A9"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257BA639"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13A4909B"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2B4C511E"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29D0B854"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473C2C7B"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6A834CD6"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4A27ABFF"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6EFE31F2"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28CF08BA"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298E8C22"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5CA2AF8B"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6835545D"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60F27110"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4FE867A0"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21DC45C9"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1A6DEFA3"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068EFBDD"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3660F0E1"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4005A5EE"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33BB6C29"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38312C6C"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518208AB"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0493755F"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280A6A8C"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32A636B5"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2D8D79EC"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278B271B"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2067FE84"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509BE146"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071E13AC"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27E56DC6"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27B118ED"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50160753"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7823E313"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13CB4DA3"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796E11E5"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0EB17A6D"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49B2615E"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5B4E2EB6"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6162D49B"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27832C01"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6E3BF934"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0DD42DBD"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1FEB6A3A"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25570040"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15B14E2D"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4E10CD4B"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75A091E1"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2C096A90"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0049D9AD"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2C3080A4"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5BC3CF4C"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01F475EC"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1A5C9403"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6CA6F02F"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5B593BA6"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095243D2"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34009413"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153D6D01"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708B7981"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31C14845"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5EFE4306"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5B5E33B7"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47F2DAF5"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4AC6BCEC"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454A945B"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592A531B"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47C309CD"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205BD2E5"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7DB6515C"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565C4323" w14:textId="77777777" w:rsidR="00CD5946" w:rsidRDefault="00CD5946"/>
    <w:p w14:paraId="2C88745A" w14:textId="77777777" w:rsidR="00CD5946" w:rsidRDefault="00000000">
      <w:pPr>
        <w:pStyle w:val="Heading1"/>
      </w:pPr>
      <w:bookmarkStart w:id="228" w:name="__RefHeading___Toc9613_1729075678"/>
      <w:bookmarkEnd w:id="228"/>
      <w:r>
        <w:t xml:space="preserve">Annex 19 — Reference and Retention Samples  ·  </w:t>
      </w:r>
      <w:r>
        <w:rPr>
          <w:rtl/>
        </w:rPr>
        <w:t xml:space="preserve">الملحق </w:t>
      </w:r>
      <w:r>
        <w:t>19</w:t>
      </w:r>
      <w:r>
        <w:rPr>
          <w:rtl/>
        </w:rPr>
        <w:t xml:space="preserve"> — العينات المرجعية والمحتفَظ بها</w:t>
      </w:r>
    </w:p>
    <w:p w14:paraId="09E463FC" w14:textId="77777777" w:rsidR="00CD5946" w:rsidRDefault="00000000">
      <w:pPr>
        <w:spacing w:before="10" w:after="150"/>
      </w:pPr>
      <w:r>
        <w:rPr>
          <w:rFonts w:ascii="Arial" w:eastAsia="Arial" w:hAnsi="Arial"/>
          <w:b/>
          <w:bCs/>
          <w:color w:val="C8A24B"/>
          <w:sz w:val="17"/>
          <w:szCs w:val="17"/>
        </w:rPr>
        <w:t xml:space="preserve">Harmonised with: </w:t>
      </w:r>
      <w:r>
        <w:rPr>
          <w:rFonts w:ascii="Arial" w:eastAsia="Arial" w:hAnsi="Arial"/>
          <w:i/>
          <w:iCs/>
          <w:color w:val="5A5A5A"/>
          <w:sz w:val="17"/>
          <w:szCs w:val="17"/>
        </w:rPr>
        <w:t>EU GMP Annex 19 (revised 24 June 2026; operative 24 September 2026) · SFDA GMP Guide v4.4 · PIC/S PE 009-17 Annex 19 · EU GMP Part I, Chapter 6 · WHO TRS guidance on retention samples</w:t>
      </w:r>
    </w:p>
    <w:p w14:paraId="19DC725F" w14:textId="77777777" w:rsidR="00CD5946" w:rsidRDefault="00000000">
      <w:pPr>
        <w:pBdr>
          <w:left w:val="single" w:sz="16" w:space="8" w:color="C8A24B"/>
        </w:pBdr>
        <w:spacing w:after="40"/>
        <w:ind w:left="160"/>
      </w:pPr>
      <w:r>
        <w:rPr>
          <w:rFonts w:ascii="Arial" w:eastAsia="Arial" w:hAnsi="Arial"/>
          <w:b/>
          <w:bCs/>
          <w:color w:val="C8A24B"/>
        </w:rPr>
        <w:t xml:space="preserve">Principle.  </w:t>
      </w:r>
      <w:r>
        <w:rPr>
          <w:rFonts w:ascii="Arial" w:eastAsia="Arial" w:hAnsi="Arial"/>
          <w:color w:val="1A1A1A"/>
        </w:rPr>
        <w:t>Samples are retained to fulfil two purposes: a reference sample for analysis, and a retention sample for identification of the product as packaged. A reference sample is a sample of a batch of starting material, packaging material or finished product which is stored for the purpose of being analysed should the need arise during the shelf life of the batch. A retention sample is a fully-packaged unit from a batch of finished product, kept for identification purposes — for example presentation, packaging, labelling, leaflet, batch number and expiry date — should the need arise during the shelf life of the batch.</w:t>
      </w:r>
    </w:p>
    <w:p w14:paraId="391C665A" w14:textId="77777777" w:rsidR="00CD5946" w:rsidRDefault="00000000">
      <w:pPr>
        <w:bidi/>
        <w:spacing w:after="150"/>
        <w:ind w:right="160"/>
        <w:jc w:val="right"/>
      </w:pPr>
      <w:r>
        <w:rPr>
          <w:rFonts w:ascii="Arial" w:eastAsia="Arial" w:hAnsi="Arial"/>
          <w:b/>
          <w:bCs/>
          <w:color w:val="C8A24B"/>
          <w:sz w:val="20"/>
          <w:szCs w:val="20"/>
          <w:rtl/>
        </w:rPr>
        <w:t xml:space="preserve">المبدأ. </w:t>
      </w:r>
      <w:r>
        <w:rPr>
          <w:rFonts w:ascii="Arial" w:eastAsia="Arial" w:hAnsi="Arial"/>
          <w:color w:val="333333"/>
          <w:sz w:val="20"/>
          <w:szCs w:val="20"/>
          <w:rtl/>
        </w:rPr>
        <w:t>تُحفَظ العينات لغرضين: عينة مرجعية للتحليل، وعينة محتفَظ بها لتعريف المنتج كما عُبّئ. فالعينة المرجعية عينة من دفعة مادة أولية أو تعبئة أو منتج نهائي تُخزّن للتحليل عند الحاجة خلال صلاحية الدفعة. والعينة المحتفَظ بها وحدة كاملة التعبئة تُحفَظ للتعريف (العرض والتعبئة والوسم والنشرة ورقم الدفعة وتاريخ الانتهاء) عند الحاجة خلال الصلاحية.</w:t>
      </w:r>
    </w:p>
    <w:p w14:paraId="118F5B3F" w14:textId="77777777" w:rsidR="00CD5946" w:rsidRDefault="00000000">
      <w:pPr>
        <w:pBdr>
          <w:left w:val="single" w:sz="10" w:space="8" w:color="CFCFCF"/>
        </w:pBdr>
        <w:spacing w:before="60" w:after="30"/>
        <w:ind w:left="160"/>
      </w:pPr>
      <w:r>
        <w:rPr>
          <w:rFonts w:ascii="Arial" w:eastAsia="Arial" w:hAnsi="Arial"/>
          <w:b/>
          <w:bCs/>
          <w:color w:val="15512F"/>
          <w:sz w:val="20"/>
          <w:szCs w:val="20"/>
        </w:rPr>
        <w:t xml:space="preserve">Scope.  </w:t>
      </w:r>
      <w:r>
        <w:rPr>
          <w:rFonts w:ascii="Arial" w:eastAsia="Arial" w:hAnsi="Arial"/>
          <w:color w:val="1A1A1A"/>
          <w:sz w:val="20"/>
          <w:szCs w:val="20"/>
        </w:rPr>
        <w:t>This Annex gives guidance on the taking and holding of reference and retention samples of starting materials, packaging materials and finished products. It is read together with Chapter 6 (Quality Control). It does not address samples taken for in-process monitoring or for ongoing-stability programmes, which are governed by the relevant procedures.</w:t>
      </w:r>
    </w:p>
    <w:p w14:paraId="43AC3D7A" w14:textId="77777777" w:rsidR="00CD5946" w:rsidRDefault="00000000">
      <w:pPr>
        <w:bidi/>
        <w:spacing w:after="150"/>
        <w:ind w:right="160"/>
        <w:jc w:val="right"/>
      </w:pPr>
      <w:r>
        <w:rPr>
          <w:rFonts w:ascii="Arial" w:eastAsia="Arial" w:hAnsi="Arial"/>
          <w:b/>
          <w:bCs/>
          <w:color w:val="15512F"/>
          <w:sz w:val="20"/>
          <w:szCs w:val="20"/>
          <w:rtl/>
        </w:rPr>
        <w:t xml:space="preserve">النطاق. </w:t>
      </w:r>
      <w:r>
        <w:rPr>
          <w:rFonts w:ascii="Arial" w:eastAsia="Arial" w:hAnsi="Arial"/>
          <w:color w:val="333333"/>
          <w:sz w:val="20"/>
          <w:szCs w:val="20"/>
          <w:rtl/>
        </w:rPr>
        <w:t>يقدّم إرشاداً لأخذ وحفظ العينات المرجعية والمحتفَظ بها للمواد الأولية ومواد التعبئة والمنتجات النهائية، ويُقرأ مع الفصل ⁦</w:t>
      </w:r>
      <w:r>
        <w:rPr>
          <w:rFonts w:ascii="Arial" w:eastAsia="Arial" w:hAnsi="Arial"/>
          <w:color w:val="333333"/>
          <w:sz w:val="20"/>
          <w:szCs w:val="20"/>
        </w:rPr>
        <w:t>6.</w:t>
      </w:r>
      <w:r>
        <w:rPr>
          <w:rFonts w:ascii="Arial" w:eastAsia="Arial" w:hAnsi="Arial"/>
          <w:color w:val="333333"/>
          <w:sz w:val="20"/>
          <w:szCs w:val="20"/>
          <w:rtl/>
        </w:rPr>
        <w:t>⁩ ولا يتناول عينات المراقبة أثناء العملية أو برامج الثبات المستمر.</w:t>
      </w:r>
    </w:p>
    <w:p w14:paraId="41BF5700" w14:textId="77777777" w:rsidR="00CD5946" w:rsidRDefault="00000000">
      <w:pPr>
        <w:pStyle w:val="Heading2"/>
        <w:spacing w:before="220"/>
      </w:pPr>
      <w:bookmarkStart w:id="229" w:name="__RefHeading___Toc9615_1729075678"/>
      <w:bookmarkEnd w:id="229"/>
      <w:r>
        <w:t>1.  Quantity and storage</w:t>
      </w:r>
      <w:r>
        <w:rPr>
          <w:b w:val="0"/>
          <w:bCs w:val="0"/>
          <w:color w:val="1A1A1A"/>
          <w:sz w:val="21"/>
          <w:szCs w:val="21"/>
        </w:rPr>
        <w:t xml:space="preserve">   </w:t>
      </w:r>
      <w:r>
        <w:rPr>
          <w:color w:val="C8A24B"/>
          <w:sz w:val="20"/>
          <w:szCs w:val="20"/>
          <w:rtl/>
        </w:rPr>
        <w:t>الكمية والتخزين</w:t>
      </w:r>
    </w:p>
    <w:p w14:paraId="64796122" w14:textId="77777777" w:rsidR="00CD5946" w:rsidRDefault="00000000">
      <w:pPr>
        <w:spacing w:after="40" w:line="266" w:lineRule="auto"/>
        <w:ind w:left="300" w:hanging="300"/>
      </w:pPr>
      <w:r>
        <w:rPr>
          <w:rFonts w:ascii="Arial" w:eastAsia="Arial" w:hAnsi="Arial"/>
          <w:b/>
          <w:bCs/>
          <w:color w:val="15512F"/>
        </w:rPr>
        <w:t xml:space="preserve">19.1  </w:t>
      </w:r>
      <w:r>
        <w:rPr>
          <w:rFonts w:ascii="Arial" w:eastAsia="Arial" w:hAnsi="Arial"/>
          <w:color w:val="1A1A1A"/>
        </w:rPr>
        <w:t xml:space="preserve">A reference sample shall be of sufficient size to permit the carrying out, on at least two occasions, of the full analytical controls on the batch in accordance with the marketing-authorisation dossier. Reference and retention samples of each batch of finished product shall be </w:t>
        <w:lastRenderedPageBreak/>
        <w:t>retained for at least one year after the expiry date. The reference sample shall be kept within its primary packaging or in a packaging of the same material as the marketed container, and stored under the labelled conditions.</w:t>
      </w:r>
    </w:p>
    <w:p w14:paraId="1F902FCB" w14:textId="77777777" w:rsidR="00CD5946" w:rsidRDefault="00000000">
      <w:pPr>
        <w:bidi/>
        <w:spacing w:after="150" w:line="300" w:lineRule="auto"/>
        <w:ind w:right="300" w:hanging="300"/>
        <w:jc w:val="right"/>
      </w:pPr>
      <w:r>
        <w:rPr>
          <w:rFonts w:ascii="Arial" w:eastAsia="Arial" w:hAnsi="Arial"/>
          <w:color w:val="333333"/>
          <w:sz w:val="20"/>
          <w:szCs w:val="20"/>
          <w:rtl/>
        </w:rPr>
        <w:t>تكون العينة المرجعية بحجم يكفي لإجراء الضوابط التحليلية الكاملة مرتين على الأقل وفق ملف الترخيص. وتُحفَظ العينات المرجعية والمحتفَظ بها لكل دفعة منتج نهائي لمدّة سنة على الأقل بعد تاريخ الانتهاء. وتُحفَظ العينة المرجعية في عبوتها الأولية أو بمادّة مماثلة وتُخزّن بالظروف الموسومة.</w:t>
      </w:r>
      <w:r>
        <w:rPr>
          <w:rFonts w:ascii="Arial" w:eastAsia="Arial" w:hAnsi="Arial"/>
          <w:b/>
          <w:bCs/>
          <w:color w:val="15512F"/>
          <w:sz w:val="20"/>
          <w:szCs w:val="20"/>
          <w:rtl/>
        </w:rPr>
        <w:t xml:space="preserve">  ⁦</w:t>
      </w:r>
      <w:r>
        <w:rPr>
          <w:rFonts w:ascii="Arial" w:eastAsia="Arial" w:hAnsi="Arial"/>
          <w:b/>
          <w:bCs/>
          <w:color w:val="15512F"/>
          <w:sz w:val="20"/>
          <w:szCs w:val="20"/>
        </w:rPr>
        <w:t>19.1</w:t>
      </w:r>
      <w:r>
        <w:rPr>
          <w:rFonts w:ascii="Arial" w:eastAsia="Arial" w:hAnsi="Arial"/>
          <w:b/>
          <w:bCs/>
          <w:color w:val="15512F"/>
          <w:sz w:val="20"/>
          <w:szCs w:val="20"/>
          <w:rtl/>
        </w:rPr>
        <w:t>⁩</w:t>
      </w:r>
    </w:p>
    <w:p w14:paraId="79863B6F" w14:textId="77777777" w:rsidR="00CD5946" w:rsidRDefault="00000000">
      <w:pPr>
        <w:spacing w:after="40" w:line="266" w:lineRule="auto"/>
        <w:ind w:left="300" w:hanging="300"/>
      </w:pPr>
      <w:r>
        <w:rPr>
          <w:rFonts w:ascii="Arial" w:eastAsia="Arial" w:hAnsi="Arial"/>
          <w:b/>
          <w:bCs/>
          <w:color w:val="15512F"/>
        </w:rPr>
        <w:t xml:space="preserve">19.2  </w:t>
      </w:r>
      <w:r>
        <w:rPr>
          <w:rFonts w:ascii="Arial" w:eastAsia="Arial" w:hAnsi="Arial"/>
          <w:color w:val="1A1A1A"/>
        </w:rPr>
        <w:t>Reference samples of starting materials (other than solvents, gases and water used in manufacture) shall be retained for at least two years after the release of the product, unless a shorter period is justified by the stability of the material. Retention samples shall be representative of the batch as released; where the manufacturing and the marketing-authorisation holder are not the same, the arrangements for retention and access shall be defined in a technical agreement.</w:t>
      </w:r>
    </w:p>
    <w:p w14:paraId="2DA31679" w14:textId="77777777" w:rsidR="00CD5946" w:rsidRDefault="00000000">
      <w:pPr>
        <w:bidi/>
        <w:spacing w:after="150" w:line="300" w:lineRule="auto"/>
        <w:ind w:right="300" w:hanging="300"/>
        <w:jc w:val="right"/>
      </w:pPr>
      <w:r>
        <w:rPr>
          <w:rFonts w:ascii="Arial" w:eastAsia="Arial" w:hAnsi="Arial"/>
          <w:color w:val="333333"/>
          <w:sz w:val="20"/>
          <w:szCs w:val="20"/>
          <w:rtl/>
        </w:rPr>
        <w:t>تُحفَظ العينات المرجعية للمواد الأولية (عدا المذيبات والغازات والماء) لمدّة سنتين على الأقل بعد الإفراج، ما لم تُبرّر مدّة أقصر بثبات المادة. وتكون العينات المحتفَظ بها ممثّلة للدفعة كما أُفرج عنها؛ وعند اختلاف المصنّع عن حامل الترخيص تُحدّد ترتيبات الحفظ والوصول في اتفاقية فنية.</w:t>
      </w:r>
      <w:r>
        <w:rPr>
          <w:rFonts w:ascii="Arial" w:eastAsia="Arial" w:hAnsi="Arial"/>
          <w:b/>
          <w:bCs/>
          <w:color w:val="15512F"/>
          <w:sz w:val="20"/>
          <w:szCs w:val="20"/>
          <w:rtl/>
        </w:rPr>
        <w:t xml:space="preserve">  ⁦</w:t>
      </w:r>
      <w:r>
        <w:rPr>
          <w:rFonts w:ascii="Arial" w:eastAsia="Arial" w:hAnsi="Arial"/>
          <w:b/>
          <w:bCs/>
          <w:color w:val="15512F"/>
          <w:sz w:val="20"/>
          <w:szCs w:val="20"/>
        </w:rPr>
        <w:t>19.2</w:t>
      </w:r>
      <w:r>
        <w:rPr>
          <w:rFonts w:ascii="Arial" w:eastAsia="Arial" w:hAnsi="Arial"/>
          <w:b/>
          <w:bCs/>
          <w:color w:val="15512F"/>
          <w:sz w:val="20"/>
          <w:szCs w:val="20"/>
          <w:rtl/>
        </w:rPr>
        <w:t>⁩</w:t>
      </w:r>
    </w:p>
    <w:p>
      <w:pPr>
        <w:spacing w:after="40" w:line="266" w:lineRule="auto"/>
        <w:ind w:left="300" w:hanging="300"/>
      </w:pPr>
      <w:r>
        <w:rPr>
          <w:rFonts w:ascii="Arial" w:eastAsia="Arial" w:hAnsi="Arial"/>
          <w:b/>
          <w:bCs/>
          <w:color w:val="15512F"/>
        </w:rPr>
        <w:t xml:space="preserve">19.3  Forthcoming revision (anticipatory). The revised EU Annex 19 (published 24 June 2026; applicable from 24 September 2026) additionally expects: defined reference- and retention-sample arrangements for parallel-imported, parallel-distributed and repackaged products (its new Section 9); photographic or digital retention samples only where justified and agreed in advance with the competent authority, under Annex 11 record-integrity controls; reference samples of primary and printed packaging materials retained for the shelf-life of the finished product concerned; continued availability of samples to the competent authority on request, including where a manufacturer ceases activity. Adopting authorities should apply these provisions upon national adoption of this Guideline.</w:t>
      </w:r>
    </w:p>
    <w:p>
      <w:pPr>
        <w:bidi/>
        <w:spacing w:after="150" w:line="300" w:lineRule="auto"/>
        <w:ind w:right="300" w:hanging="300"/>
        <w:jc w:val="right"/>
      </w:pPr>
      <w:r>
        <w:rPr>
          <w:rFonts w:ascii="Arial" w:eastAsia="Arial" w:hAnsi="Arial"/>
          <w:color w:val="333333"/>
          <w:sz w:val="20"/>
          <w:szCs w:val="20"/>
          <w:rtl/>
        </w:rPr>
        <w:t xml:space="preserve">19.3  التنقيح المقبل (استباقي): يتوقّع الملحق 19 الأوروبي المنقّح (الصادر في 24 يونيو 2026 والساري من 24 سبتمبر 2026) إضافةً: ترتيبات محدّدة لعينات المنتجات المستوردة أو الموزَّعة توازياً والمعاد تعبئتها (القسم 9 الجديد)؛ وقبول عينات محتفَظ بها فوتوغرافية أو رقمية فقط عند التبرير والاتفاق المسبق مع الجهة المختصة وبضوابط سلامة السجلات؛ وحفظ عينات مواد التعبئة الأولية والمطبوعة طوال صلاحية المنتج؛ وبقاء العينات متاحة للجهة المختصة حتى عند توقّف المصنّع عن النشاط.</w:t>
      </w:r>
    </w:p>
    <w:p w14:paraId="64A1F141" w14:textId="77777777" w:rsidR="00CD5946" w:rsidRDefault="00000000">
      <w:pPr>
        <w:pBdr>
          <w:left w:val="single" w:sz="6" w:space="8" w:color="CFCFCF"/>
        </w:pBd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The “twice the full analysis” rule sizes the reference sample so that a complete re-test can be repeated if the first is invalidated; it is a minimum. For products with a long shelf life or special national requirements (for example certain biologicals or blood derivatives), longer retention periods may apply — always confirm against the registered dossier and national law.</w:t>
      </w:r>
    </w:p>
    <w:p w14:paraId="33B12787" w14:textId="77777777" w:rsidR="00CD5946" w:rsidRDefault="00000000">
      <w:pPr>
        <w:bidi/>
        <w:spacing w:after="140"/>
        <w:ind w:right="300"/>
        <w:jc w:val="right"/>
      </w:pPr>
      <w:r>
        <w:rPr>
          <w:rFonts w:ascii="Arial" w:eastAsia="Arial" w:hAnsi="Arial"/>
          <w:color w:val="5A5A5A"/>
          <w:sz w:val="18"/>
          <w:szCs w:val="18"/>
          <w:rtl/>
        </w:rPr>
        <w:t>تحدّد قاعدة "ضعف التحليل الكامل" حجم العينة لإعادة اختبار كامل عند إبطال الأوّل؛ وهي حدّ أدنى. وللمنتجات طويلة الصلاحية أو ذات متطلبات وطنية خاصة (كبعض البيولوجيات ومشتقّات الدم) قد تنطبق مدد أطول؛ ويُؤكّد دائماً مقابل الملف المُسجّل والقانون الوطني.</w:t>
      </w:r>
      <w:r>
        <w:rPr>
          <w:rFonts w:ascii="Arial" w:eastAsia="Arial" w:hAnsi="Arial"/>
          <w:b/>
          <w:bCs/>
          <w:color w:val="5A5A5A"/>
          <w:sz w:val="18"/>
          <w:szCs w:val="18"/>
          <w:rtl/>
        </w:rPr>
        <w:t xml:space="preserve">  ملاحظة.</w:t>
      </w:r>
    </w:p>
    <w:p w14:paraId="2E462283" w14:textId="77777777" w:rsidR="00CD5946" w:rsidRDefault="00000000">
      <w:pPr>
        <w:pStyle w:val="Heading2"/>
        <w:spacing w:before="220"/>
      </w:pPr>
      <w:bookmarkStart w:id="230" w:name="__RefHeading___Toc9617_1729075678"/>
      <w:bookmarkEnd w:id="230"/>
      <w:r>
        <w:t>2.  Glossary (Annex 19)</w:t>
      </w:r>
      <w:r>
        <w:rPr>
          <w:b w:val="0"/>
          <w:bCs w:val="0"/>
          <w:color w:val="1A1A1A"/>
          <w:sz w:val="21"/>
          <w:szCs w:val="21"/>
        </w:rPr>
        <w:t xml:space="preserve">   </w:t>
      </w:r>
      <w:r>
        <w:rPr>
          <w:color w:val="C8A24B"/>
          <w:sz w:val="20"/>
          <w:szCs w:val="20"/>
          <w:rtl/>
        </w:rPr>
        <w:t>مسرد الملحق</w:t>
      </w:r>
      <w:r>
        <w:rPr>
          <w:color w:val="C8A24B"/>
          <w:sz w:val="20"/>
          <w:szCs w:val="20"/>
        </w:rPr>
        <w:t xml:space="preserve"> ⁦19⁩</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700"/>
        <w:gridCol w:w="6660"/>
      </w:tblGrid>
      <w:tr w:rsidR="00CD5946" w14:paraId="51E03B87" w14:textId="77777777">
        <w:trPr>
          <w:tblHeader/>
        </w:trPr>
        <w:tc>
          <w:tcPr>
            <w:tcW w:w="2700" w:type="dxa"/>
            <w:tcBorders>
              <w:top w:val="single" w:sz="2" w:space="0" w:color="BFC9C0"/>
              <w:left w:val="single" w:sz="2" w:space="0" w:color="BFC9C0"/>
              <w:bottom w:val="single" w:sz="2" w:space="0" w:color="BFC9C0"/>
              <w:right w:val="single" w:sz="2" w:space="0" w:color="BFC9C0"/>
            </w:tcBorders>
            <w:shd w:val="clear" w:color="auto" w:fill="0E5A50"/>
          </w:tcPr>
          <w:p w14:paraId="53A6C578" w14:textId="77777777" w:rsidR="00CD5946" w:rsidRDefault="00000000">
            <w:pPr>
              <w:spacing w:after="0"/>
            </w:pPr>
            <w:r>
              <w:rPr>
                <w:rFonts w:ascii="Arial" w:eastAsia="Arial" w:hAnsi="Arial"/>
                <w:b/>
                <w:bCs/>
                <w:color w:val="FFFFFF"/>
                <w:sz w:val="18"/>
                <w:szCs w:val="18"/>
              </w:rPr>
              <w:t xml:space="preserve">Term / </w:t>
            </w:r>
            <w:r>
              <w:rPr>
                <w:rFonts w:ascii="Arial" w:eastAsia="Arial" w:hAnsi="Arial"/>
                <w:b/>
                <w:bCs/>
                <w:color w:val="FFFFFF"/>
                <w:sz w:val="18"/>
                <w:szCs w:val="18"/>
                <w:rtl/>
              </w:rPr>
              <w:t>المصطلح</w:t>
            </w:r>
          </w:p>
        </w:tc>
        <w:tc>
          <w:tcPr>
            <w:tcW w:w="6660" w:type="dxa"/>
            <w:tcBorders>
              <w:top w:val="single" w:sz="2" w:space="0" w:color="BFC9C0"/>
              <w:left w:val="single" w:sz="2" w:space="0" w:color="BFC9C0"/>
              <w:bottom w:val="single" w:sz="2" w:space="0" w:color="BFC9C0"/>
              <w:right w:val="single" w:sz="2" w:space="0" w:color="BFC9C0"/>
            </w:tcBorders>
            <w:shd w:val="clear" w:color="auto" w:fill="0E5A50"/>
          </w:tcPr>
          <w:p w14:paraId="3FF26A2E" w14:textId="77777777" w:rsidR="00CD5946" w:rsidRDefault="00000000">
            <w:pPr>
              <w:spacing w:after="0"/>
            </w:pPr>
            <w:r>
              <w:rPr>
                <w:rFonts w:ascii="Arial" w:eastAsia="Arial" w:hAnsi="Arial"/>
                <w:b/>
                <w:bCs/>
                <w:color w:val="FFFFFF"/>
                <w:sz w:val="18"/>
                <w:szCs w:val="18"/>
              </w:rPr>
              <w:t xml:space="preserve">Definition / </w:t>
            </w:r>
            <w:r>
              <w:rPr>
                <w:rFonts w:ascii="Arial" w:eastAsia="Arial" w:hAnsi="Arial"/>
                <w:b/>
                <w:bCs/>
                <w:color w:val="FFFFFF"/>
                <w:sz w:val="18"/>
                <w:szCs w:val="18"/>
                <w:rtl/>
              </w:rPr>
              <w:t>التعريف</w:t>
            </w:r>
          </w:p>
        </w:tc>
      </w:tr>
      <w:tr w:rsidR="00CD5946" w14:paraId="153AA8C6"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22589B90" w14:textId="77777777" w:rsidR="00CD5946" w:rsidRDefault="00000000">
            <w:pPr>
              <w:spacing w:after="0"/>
            </w:pPr>
            <w:r>
              <w:rPr>
                <w:rFonts w:ascii="Arial" w:eastAsia="Arial" w:hAnsi="Arial"/>
                <w:b/>
                <w:bCs/>
                <w:color w:val="15512F"/>
                <w:sz w:val="18"/>
                <w:szCs w:val="18"/>
              </w:rPr>
              <w:t>Reference sample</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3C549DE8" w14:textId="77777777" w:rsidR="00CD5946" w:rsidRDefault="00000000">
            <w:pPr>
              <w:spacing w:after="0"/>
            </w:pPr>
            <w:r>
              <w:rPr>
                <w:rFonts w:ascii="Arial" w:eastAsia="Arial" w:hAnsi="Arial"/>
                <w:color w:val="1A1A1A"/>
                <w:sz w:val="18"/>
                <w:szCs w:val="18"/>
              </w:rPr>
              <w:t xml:space="preserve">A sample of a batch stored so that it can be analysed during the shelf life should the need arise. / </w:t>
            </w:r>
            <w:r>
              <w:rPr>
                <w:rFonts w:ascii="Arial" w:eastAsia="Arial" w:hAnsi="Arial"/>
                <w:color w:val="1A1A1A"/>
                <w:sz w:val="18"/>
                <w:szCs w:val="18"/>
                <w:rtl/>
              </w:rPr>
              <w:t>عينة تُخزّن للتحليل عند الحاجة</w:t>
            </w:r>
            <w:r>
              <w:rPr>
                <w:rFonts w:ascii="Arial" w:eastAsia="Arial" w:hAnsi="Arial"/>
                <w:color w:val="1A1A1A"/>
                <w:sz w:val="18"/>
                <w:szCs w:val="18"/>
              </w:rPr>
              <w:t>.</w:t>
            </w:r>
          </w:p>
        </w:tc>
      </w:tr>
      <w:tr w:rsidR="00CD5946" w14:paraId="0DFE9BAB"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06695F18" w14:textId="77777777" w:rsidR="00CD5946" w:rsidRDefault="00000000">
            <w:pPr>
              <w:spacing w:after="0"/>
            </w:pPr>
            <w:r>
              <w:rPr>
                <w:rFonts w:ascii="Arial" w:eastAsia="Arial" w:hAnsi="Arial"/>
                <w:b/>
                <w:bCs/>
                <w:color w:val="15512F"/>
                <w:sz w:val="18"/>
                <w:szCs w:val="18"/>
              </w:rPr>
              <w:t>Retention sample</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1371C0D0" w14:textId="77777777" w:rsidR="00CD5946" w:rsidRDefault="00000000">
            <w:pPr>
              <w:spacing w:after="0"/>
            </w:pPr>
            <w:r>
              <w:rPr>
                <w:rFonts w:ascii="Arial" w:eastAsia="Arial" w:hAnsi="Arial"/>
                <w:color w:val="1A1A1A"/>
                <w:sz w:val="18"/>
                <w:szCs w:val="18"/>
              </w:rPr>
              <w:t xml:space="preserve">A fully-packaged unit kept for identification purposes during the shelf life. / </w:t>
            </w:r>
            <w:r>
              <w:rPr>
                <w:rFonts w:ascii="Arial" w:eastAsia="Arial" w:hAnsi="Arial"/>
                <w:color w:val="1A1A1A"/>
                <w:sz w:val="18"/>
                <w:szCs w:val="18"/>
                <w:rtl/>
              </w:rPr>
              <w:t>وحدة كاملة التعبئة تُحفَظ للتعريف</w:t>
            </w:r>
            <w:r>
              <w:rPr>
                <w:rFonts w:ascii="Arial" w:eastAsia="Arial" w:hAnsi="Arial"/>
                <w:color w:val="1A1A1A"/>
                <w:sz w:val="18"/>
                <w:szCs w:val="18"/>
              </w:rPr>
              <w:t>.</w:t>
            </w:r>
          </w:p>
        </w:tc>
      </w:tr>
      <w:tr w:rsidR="00CD5946" w14:paraId="013A0DAD"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7BA6BA1F" w14:textId="77777777" w:rsidR="00CD5946" w:rsidRDefault="00000000">
            <w:pPr>
              <w:spacing w:after="0"/>
            </w:pPr>
            <w:r>
              <w:rPr>
                <w:rFonts w:ascii="Arial" w:eastAsia="Arial" w:hAnsi="Arial"/>
                <w:b/>
                <w:bCs/>
                <w:color w:val="15512F"/>
                <w:sz w:val="18"/>
                <w:szCs w:val="18"/>
              </w:rPr>
              <w:t>Shelf life</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463F30A5" w14:textId="77777777" w:rsidR="00CD5946" w:rsidRDefault="00000000">
            <w:pPr>
              <w:spacing w:after="0"/>
            </w:pPr>
            <w:r>
              <w:rPr>
                <w:rFonts w:ascii="Arial" w:eastAsia="Arial" w:hAnsi="Arial"/>
                <w:color w:val="1A1A1A"/>
                <w:sz w:val="18"/>
                <w:szCs w:val="18"/>
              </w:rPr>
              <w:t xml:space="preserve">The period during which a product, stored correctly, is expected to comply with its specification. / </w:t>
            </w:r>
            <w:r>
              <w:rPr>
                <w:rFonts w:ascii="Arial" w:eastAsia="Arial" w:hAnsi="Arial"/>
                <w:color w:val="1A1A1A"/>
                <w:sz w:val="18"/>
                <w:szCs w:val="18"/>
                <w:rtl/>
              </w:rPr>
              <w:t>مدّة مطابقة المنتج لمواصفته</w:t>
            </w:r>
            <w:r>
              <w:rPr>
                <w:rFonts w:ascii="Arial" w:eastAsia="Arial" w:hAnsi="Arial"/>
                <w:color w:val="1A1A1A"/>
                <w:sz w:val="18"/>
                <w:szCs w:val="18"/>
              </w:rPr>
              <w:t>.</w:t>
            </w:r>
          </w:p>
        </w:tc>
      </w:tr>
    </w:tbl>
    <w:p w14:paraId="2B2B5042" w14:textId="77777777" w:rsidR="00CD5946" w:rsidRDefault="00000000">
      <w:pPr>
        <w:spacing w:before="260" w:after="0"/>
        <w:jc w:val="center"/>
      </w:pPr>
      <w:r>
        <w:rPr>
          <w:noProof/>
        </w:rPr>
        <w:drawing>
          <wp:inline distT="0" distB="0" distL="0" distR="0" wp14:anchorId="723B8532" wp14:editId="7071BAFC">
            <wp:extent cx="876300" cy="1238250"/>
            <wp:effectExtent l="0" t="0" r="0" b="0"/>
            <wp:docPr id="18" name="Image17"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37B2C67A" w14:textId="77777777" w:rsidR="00CD5946" w:rsidRDefault="00000000">
      <w:pPr>
        <w:spacing w:before="50" w:after="0"/>
        <w:jc w:val="center"/>
      </w:pPr>
      <w:r>
        <w:rPr>
          <w:rFonts w:ascii="Arial" w:eastAsia="Arial" w:hAnsi="Arial"/>
          <w:b/>
          <w:bCs/>
          <w:color w:val="15512F"/>
          <w:sz w:val="19"/>
          <w:szCs w:val="19"/>
        </w:rPr>
        <w:t>AUPAM EXPERTS' OFFICE</w:t>
      </w:r>
    </w:p>
    <w:p w14:paraId="6074F4C5"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01DF25CD" w14:textId="77777777" w:rsidR="00CD5946" w:rsidRDefault="00000000">
      <w:pPr>
        <w:spacing w:before="10" w:after="0"/>
        <w:jc w:val="center"/>
      </w:pPr>
      <w:r>
        <w:rPr>
          <w:rFonts w:ascii="Arial" w:eastAsia="Arial" w:hAnsi="Arial"/>
          <w:b/>
          <w:bCs/>
          <w:color w:val="B08C37"/>
          <w:sz w:val="24"/>
          <w:szCs w:val="24"/>
        </w:rPr>
        <w:t>2026 EDITION</w:t>
      </w:r>
    </w:p>
    <w:p w14:paraId="68B9E317" w14:textId="77777777" w:rsidR="00CD5946" w:rsidRDefault="00000000">
      <w:pPr>
        <w:spacing w:before="260" w:after="0"/>
        <w:jc w:val="center"/>
      </w:pPr>
      <w:r>
        <w:rPr>
          <w:rFonts w:ascii="Arial" w:eastAsia="Arial" w:hAnsi="Arial"/>
          <w:b/>
          <w:bCs/>
          <w:color w:val="15512F"/>
          <w:sz w:val="54"/>
          <w:szCs w:val="54"/>
        </w:rPr>
        <w:t>ANNEX 21</w:t>
      </w:r>
    </w:p>
    <w:p w14:paraId="3E49DD59" w14:textId="77777777" w:rsidR="00CD5946" w:rsidRDefault="00000000">
      <w:pPr>
        <w:spacing w:before="40" w:after="0"/>
        <w:jc w:val="center"/>
      </w:pPr>
      <w:r>
        <w:rPr>
          <w:rFonts w:ascii="Arial" w:eastAsia="Arial" w:hAnsi="Arial"/>
          <w:b/>
          <w:bCs/>
          <w:color w:val="1A1A1A"/>
          <w:sz w:val="28"/>
          <w:szCs w:val="28"/>
        </w:rPr>
        <w:lastRenderedPageBreak/>
        <w:t>Importation of Medicinal Products</w:t>
      </w:r>
    </w:p>
    <w:p w14:paraId="32BD70B5" w14:textId="77777777" w:rsidR="00CD5946" w:rsidRDefault="00000000">
      <w:pPr>
        <w:spacing w:before="16" w:after="0"/>
        <w:jc w:val="center"/>
      </w:pPr>
      <w:r>
        <w:rPr>
          <w:rFonts w:ascii="Arial" w:eastAsia="Arial" w:hAnsi="Arial"/>
          <w:color w:val="5A5A5A"/>
          <w:sz w:val="22"/>
          <w:szCs w:val="22"/>
        </w:rPr>
        <w:t>Importer duties · QP certification · reliance · EN | AR</w:t>
      </w:r>
    </w:p>
    <w:p w14:paraId="28998D46" w14:textId="77777777" w:rsidR="00CD5946" w:rsidRDefault="00000000">
      <w:pPr>
        <w:spacing w:before="26" w:after="0"/>
        <w:jc w:val="center"/>
      </w:pPr>
      <w:r>
        <w:rPr>
          <w:rFonts w:ascii="Arial" w:eastAsia="Arial" w:hAnsi="Arial"/>
          <w:b/>
          <w:bCs/>
          <w:color w:val="15512F"/>
          <w:sz w:val="22"/>
          <w:szCs w:val="22"/>
          <w:rtl/>
        </w:rPr>
        <w:t>الملحق ⁦</w:t>
      </w:r>
      <w:r>
        <w:rPr>
          <w:rFonts w:ascii="Arial" w:eastAsia="Arial" w:hAnsi="Arial"/>
          <w:b/>
          <w:bCs/>
          <w:color w:val="15512F"/>
          <w:sz w:val="22"/>
          <w:szCs w:val="22"/>
        </w:rPr>
        <w:t>21 —</w:t>
      </w:r>
      <w:r>
        <w:rPr>
          <w:rFonts w:ascii="Arial" w:eastAsia="Arial" w:hAnsi="Arial"/>
          <w:b/>
          <w:bCs/>
          <w:color w:val="15512F"/>
          <w:sz w:val="22"/>
          <w:szCs w:val="22"/>
          <w:rtl/>
        </w:rPr>
        <w:t>⁩ استيراد المنتجات</w:t>
      </w:r>
    </w:p>
    <w:p w14:paraId="25CD6EC7"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551F928C" w14:textId="77777777" w:rsidR="00CD5946" w:rsidRDefault="00000000">
      <w:r>
        <w:br w:type="page"/>
      </w:r>
    </w:p>
    <w:p w14:paraId="3745DEED" w14:textId="77777777" w:rsidR="00CD5946" w:rsidRDefault="00000000">
      <w:pPr>
        <w:pStyle w:val="Heading1"/>
        <w:spacing w:before="0"/>
      </w:pPr>
      <w:bookmarkStart w:id="231" w:name="__RefHeading___Toc9619_1729075678"/>
      <w:bookmarkEnd w:id="231"/>
      <w:r>
        <w:lastRenderedPageBreak/>
        <w:t>Contents</w:t>
      </w:r>
    </w:p>
    <w:sdt>
      <w:sdtPr>
        <w:id w:val="2069071163"/>
        <w:docPartObj>
          <w:docPartGallery w:val="Table of Contents"/>
          <w:docPartUnique/>
        </w:docPartObj>
      </w:sdtPr>
      <w:sdtContent>
        <w:p w14:paraId="0E85EA51"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427ACC17"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7BF45DB4"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68BBA9F0"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02735D98"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1EDA37EF"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34A089A5"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0DCD43CE"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16AEE68B"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4ECF1885"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79EC7EBB"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00C6B2AA"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61C0D86E"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3E3BE867"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1B4F80B3"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54091F3B"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7CFFE9DB"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00BB6515"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3021871C"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114904A8"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39446AF3"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10C7BA2B"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593DC329"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3174D6EF"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6A665CE6"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7406C7BB"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43294B84"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2242E717"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7BA8128D"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79DCAA13"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217588AD"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35090C5F"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372C62D7"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3CD8B323"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605D282B"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70DAED62"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19D1BACC"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1DF7D0B2"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470DF310"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7D3281B4"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15A6CEE1"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3B5B4436"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3754A77B"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45A9E7AF"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222A01CA"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4093545C"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6F182D2D"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0D8A1CCC"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067F84EC"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651AF7CC"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56A13170"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00F277D9"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70EC715B"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39C5B2BC"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7066B348"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2EF8BAF5"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17290EC4"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1D282CCD"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294B85C6"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5157B37A"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2C8D3227"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3FC9CC0C"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3BA5C5F2"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61A7A9BB"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78275C72"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191288BD"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77146FEE"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66170348"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1BE5CAE2"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59A4FEE4"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29D352E9"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2B208592"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19B0EC1C"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335EBF3F" w14:textId="77777777" w:rsidR="00CD5946" w:rsidRDefault="00CD5946"/>
    <w:p w14:paraId="54DB9BE4" w14:textId="77777777" w:rsidR="00CD5946" w:rsidRDefault="00000000">
      <w:pPr>
        <w:pStyle w:val="Heading1"/>
      </w:pPr>
      <w:bookmarkStart w:id="232" w:name="__RefHeading___Toc9621_1729075678"/>
      <w:bookmarkEnd w:id="232"/>
      <w:r>
        <w:t xml:space="preserve">Annex 21 — Importation of Medicinal Products  ·  </w:t>
      </w:r>
      <w:r>
        <w:rPr>
          <w:rtl/>
        </w:rPr>
        <w:t xml:space="preserve">الملحق </w:t>
      </w:r>
      <w:r>
        <w:t>21</w:t>
      </w:r>
      <w:r>
        <w:rPr>
          <w:rtl/>
        </w:rPr>
        <w:t xml:space="preserve"> — استيراد المنتجات الدوائية</w:t>
      </w:r>
    </w:p>
    <w:p w14:paraId="07F86907" w14:textId="77777777" w:rsidR="00CD5946" w:rsidRDefault="00000000">
      <w:pPr>
        <w:spacing w:before="10" w:after="150"/>
      </w:pPr>
      <w:r>
        <w:rPr>
          <w:rFonts w:ascii="Arial" w:eastAsia="Arial" w:hAnsi="Arial"/>
          <w:b/>
          <w:bCs/>
          <w:color w:val="C8A24B"/>
          <w:sz w:val="17"/>
          <w:szCs w:val="17"/>
        </w:rPr>
        <w:t xml:space="preserve">Harmonised with: </w:t>
      </w:r>
      <w:r>
        <w:rPr>
          <w:rFonts w:ascii="Arial" w:eastAsia="Arial" w:hAnsi="Arial"/>
          <w:i/>
          <w:iCs/>
          <w:color w:val="5A5A5A"/>
          <w:sz w:val="17"/>
          <w:szCs w:val="17"/>
        </w:rPr>
        <w:t>EU GMP Annex 21 (2022) · SFDA GMP Guide v4.4 · PIC/S PE 009-17 · Annex 16 (QP certification) · WHO Good Reliance Practices, TRS 1033 Annex 10 · ICH Q9(R1)</w:t>
      </w:r>
    </w:p>
    <w:p w14:paraId="5FE1D3EF" w14:textId="77777777" w:rsidR="00CD5946" w:rsidRDefault="00000000">
      <w:pPr>
        <w:pBdr>
          <w:left w:val="single" w:sz="16" w:space="8" w:color="C8A24B"/>
        </w:pBdr>
        <w:spacing w:after="40"/>
        <w:ind w:left="160"/>
      </w:pPr>
      <w:r>
        <w:rPr>
          <w:rFonts w:ascii="Arial" w:eastAsia="Arial" w:hAnsi="Arial"/>
          <w:b/>
          <w:bCs/>
          <w:color w:val="C8A24B"/>
        </w:rPr>
        <w:t xml:space="preserve">Principle.  </w:t>
      </w:r>
      <w:r>
        <w:rPr>
          <w:rFonts w:ascii="Arial" w:eastAsia="Arial" w:hAnsi="Arial"/>
          <w:color w:val="1A1A1A"/>
        </w:rPr>
        <w:t>This Annex applies to the holder of a manufacturing/importation authorisation who imports medicinal products from outside the Arab region. The importation site is responsible for ensuring that imported products comply with GMP at least equivalent to that of the region and with the marketing authorisation, and that each batch is certified by an Authorised/Qualified Person before release. Reliance on trusted-authority GMP assessments and on the testing performed at the manufacturing site may be applied to avoid unnecessary duplication, provided the supply chain is secure and the responsibilities are documented.</w:t>
      </w:r>
    </w:p>
    <w:p w14:paraId="758C5FF9" w14:textId="77777777" w:rsidR="00CD5946" w:rsidRDefault="00000000">
      <w:pPr>
        <w:bidi/>
        <w:spacing w:after="150"/>
        <w:ind w:right="160"/>
        <w:jc w:val="right"/>
      </w:pPr>
      <w:r>
        <w:rPr>
          <w:rFonts w:ascii="Arial" w:eastAsia="Arial" w:hAnsi="Arial"/>
          <w:b/>
          <w:bCs/>
          <w:color w:val="C8A24B"/>
          <w:sz w:val="20"/>
          <w:szCs w:val="20"/>
          <w:rtl/>
        </w:rPr>
        <w:t xml:space="preserve">المبدأ. </w:t>
      </w:r>
      <w:r>
        <w:rPr>
          <w:rFonts w:ascii="Arial" w:eastAsia="Arial" w:hAnsi="Arial"/>
          <w:color w:val="333333"/>
          <w:sz w:val="20"/>
          <w:szCs w:val="20"/>
          <w:rtl/>
        </w:rPr>
        <w:t xml:space="preserve">ينطبق هذا الملحق على حامل ترخيص التصنيع/الاستيراد الذي يستورد من خارج المنطقة العربية. ويُسأل موقع الاستيراد عن التأكّد من مطابقة المنتجات المستوردة لـ </w:t>
      </w:r>
      <w:r>
        <w:rPr>
          <w:rFonts w:ascii="Arial" w:eastAsia="Arial" w:hAnsi="Arial"/>
          <w:color w:val="333333"/>
          <w:sz w:val="20"/>
          <w:szCs w:val="20"/>
        </w:rPr>
        <w:t>GMP</w:t>
      </w:r>
      <w:r>
        <w:rPr>
          <w:rFonts w:ascii="Arial" w:eastAsia="Arial" w:hAnsi="Arial"/>
          <w:color w:val="333333"/>
          <w:sz w:val="20"/>
          <w:szCs w:val="20"/>
          <w:rtl/>
        </w:rPr>
        <w:t xml:space="preserve"> مكافئة على الأقل ولترخيص التسويق، وأنّ كل دفعة تُعتمد من شخص مؤهّل قبل الإفراج. ويجوز الاعتماد على تقييمات الجهات الموثوقة وعلى الاختبار في موقع التصنيع لتجنّب الازدواجية شريطة أمن سلسلة التوريد وتوثيق المسؤوليات.</w:t>
      </w:r>
    </w:p>
    <w:p w14:paraId="254ABFBB" w14:textId="77777777" w:rsidR="00CD5946" w:rsidRDefault="00000000">
      <w:pPr>
        <w:pBdr>
          <w:left w:val="single" w:sz="10" w:space="8" w:color="CFCFCF"/>
        </w:pBdr>
        <w:spacing w:before="60" w:after="30"/>
        <w:ind w:left="160"/>
      </w:pPr>
      <w:r>
        <w:rPr>
          <w:rFonts w:ascii="Arial" w:eastAsia="Arial" w:hAnsi="Arial"/>
          <w:b/>
          <w:bCs/>
          <w:color w:val="15512F"/>
          <w:sz w:val="20"/>
          <w:szCs w:val="20"/>
        </w:rPr>
        <w:t xml:space="preserve">Scope.  </w:t>
      </w:r>
      <w:r>
        <w:rPr>
          <w:rFonts w:ascii="Arial" w:eastAsia="Arial" w:hAnsi="Arial"/>
          <w:color w:val="1A1A1A"/>
          <w:sz w:val="20"/>
          <w:szCs w:val="20"/>
        </w:rPr>
        <w:t>This Annex covers the physical importation and the QP certification of imported finished products and bulk. It distinguishes the site of physical importation (where the product physically enters the region) from the site of QP certification, which may differ. It does not override the marketing-authorisation testing requirements unless reliance/mutual-recognition arrangements specifically permit it.</w:t>
      </w:r>
    </w:p>
    <w:p w14:paraId="3FAA2E8B" w14:textId="77777777" w:rsidR="00CD5946" w:rsidRDefault="00000000">
      <w:pPr>
        <w:bidi/>
        <w:spacing w:after="150"/>
        <w:ind w:right="160"/>
        <w:jc w:val="right"/>
      </w:pPr>
      <w:r>
        <w:rPr>
          <w:rFonts w:ascii="Arial" w:eastAsia="Arial" w:hAnsi="Arial"/>
          <w:b/>
          <w:bCs/>
          <w:color w:val="15512F"/>
          <w:sz w:val="20"/>
          <w:szCs w:val="20"/>
          <w:rtl/>
        </w:rPr>
        <w:t xml:space="preserve">النطاق. </w:t>
      </w:r>
      <w:r>
        <w:rPr>
          <w:rFonts w:ascii="Arial" w:eastAsia="Arial" w:hAnsi="Arial"/>
          <w:color w:val="333333"/>
          <w:sz w:val="20"/>
          <w:szCs w:val="20"/>
          <w:rtl/>
        </w:rPr>
        <w:t>يغطّي الاستيراد الفعلي واعتماد الشخص المؤهّل للمنتجات المستوردة التامّة والسائبة، ويفرّق بين موقع الاستيراد الفعلي وموقع الاعتماد اللذين قد يختلفان. ولا يُلغي متطلبات اختبار الترخيص إلّا حيث تسمح ترتيبات الاعتماد/الاعتراف المتبادل.</w:t>
      </w:r>
    </w:p>
    <w:p w14:paraId="7EC85A84" w14:textId="77777777" w:rsidR="00CD5946" w:rsidRDefault="00000000">
      <w:pPr>
        <w:pStyle w:val="Heading2"/>
        <w:spacing w:before="220"/>
      </w:pPr>
      <w:bookmarkStart w:id="233" w:name="__RefHeading___Toc9623_1729075678"/>
      <w:bookmarkEnd w:id="233"/>
      <w:r>
        <w:t>1.  Responsibilities of the importation site</w:t>
      </w:r>
      <w:r>
        <w:rPr>
          <w:b w:val="0"/>
          <w:bCs w:val="0"/>
          <w:color w:val="1A1A1A"/>
          <w:sz w:val="21"/>
          <w:szCs w:val="21"/>
        </w:rPr>
        <w:t xml:space="preserve">   </w:t>
      </w:r>
      <w:r>
        <w:rPr>
          <w:color w:val="C8A24B"/>
          <w:sz w:val="20"/>
          <w:szCs w:val="20"/>
          <w:rtl/>
        </w:rPr>
        <w:t>مسؤوليات موقع الاستيراد</w:t>
      </w:r>
    </w:p>
    <w:p w14:paraId="674579DB" w14:textId="77777777" w:rsidR="00CD5946" w:rsidRDefault="00000000">
      <w:pPr>
        <w:spacing w:after="40" w:line="266" w:lineRule="auto"/>
        <w:ind w:left="300" w:hanging="300"/>
      </w:pPr>
      <w:r>
        <w:rPr>
          <w:rFonts w:ascii="Arial" w:eastAsia="Arial" w:hAnsi="Arial"/>
          <w:b/>
          <w:bCs/>
          <w:color w:val="15512F"/>
        </w:rPr>
        <w:t xml:space="preserve">21.1  </w:t>
      </w:r>
      <w:r>
        <w:rPr>
          <w:rFonts w:ascii="Arial" w:eastAsia="Arial" w:hAnsi="Arial"/>
          <w:color w:val="1A1A1A"/>
        </w:rPr>
        <w:t xml:space="preserve">The importation site shall hold the relevant authorisation and shall operate a pharmaceutical quality system that ensures: the supply chain from the third-country manufacturer is documented </w:t>
        <w:lastRenderedPageBreak/>
        <w:t>and secure; the GMP status of the manufacturing site(s) is established (by inspection, recognised certificate or reliance); the imported product and its batch documentation are received, verified and reconciled; and any required importation testing is performed unless validly waived under a reliance arrangement. A technical agreement shall define the responsibilities between the importer, the manufacturer and the marketing-authorisation holder.</w:t>
      </w:r>
    </w:p>
    <w:p w14:paraId="6F60A2CB"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يحوز موقع الاستيراد الترخيص ويُدير نظام جودة يضمن: توثيق وأمن سلسلة التوريد من المصنّع في البلد الثالث؛ وإثبات حالة </w:t>
      </w:r>
      <w:r>
        <w:rPr>
          <w:rFonts w:ascii="Arial" w:eastAsia="Arial" w:hAnsi="Arial"/>
          <w:color w:val="333333"/>
          <w:sz w:val="20"/>
          <w:szCs w:val="20"/>
        </w:rPr>
        <w:t>GMP</w:t>
      </w:r>
      <w:r>
        <w:rPr>
          <w:rFonts w:ascii="Arial" w:eastAsia="Arial" w:hAnsi="Arial"/>
          <w:color w:val="333333"/>
          <w:sz w:val="20"/>
          <w:szCs w:val="20"/>
          <w:rtl/>
        </w:rPr>
        <w:t xml:space="preserve"> للمواقع (بتفتيش أو شهادة معترَف بها أو اعتماد)؛ واستلام المنتج ووثائقه والتحقّق والمطابقة؛ وإجراء اختبار الاستيراد ما لم يُعفَ بصورة صالحة بموجب الاعتماد. وتُحدّد اتفاقية فنية المسؤوليات بين المستورد والمصنّع وحامل الترخيص.</w:t>
      </w:r>
      <w:r>
        <w:rPr>
          <w:rFonts w:ascii="Arial" w:eastAsia="Arial" w:hAnsi="Arial"/>
          <w:b/>
          <w:bCs/>
          <w:color w:val="15512F"/>
          <w:sz w:val="20"/>
          <w:szCs w:val="20"/>
          <w:rtl/>
        </w:rPr>
        <w:t xml:space="preserve">  ⁦</w:t>
      </w:r>
      <w:r>
        <w:rPr>
          <w:rFonts w:ascii="Arial" w:eastAsia="Arial" w:hAnsi="Arial"/>
          <w:b/>
          <w:bCs/>
          <w:color w:val="15512F"/>
          <w:sz w:val="20"/>
          <w:szCs w:val="20"/>
        </w:rPr>
        <w:t>21.1</w:t>
      </w:r>
      <w:r>
        <w:rPr>
          <w:rFonts w:ascii="Arial" w:eastAsia="Arial" w:hAnsi="Arial"/>
          <w:b/>
          <w:bCs/>
          <w:color w:val="15512F"/>
          <w:sz w:val="20"/>
          <w:szCs w:val="20"/>
          <w:rtl/>
        </w:rPr>
        <w:t>⁩</w:t>
      </w:r>
    </w:p>
    <w:p w14:paraId="69523696" w14:textId="77777777" w:rsidR="00CD5946" w:rsidRDefault="00000000">
      <w:pPr>
        <w:spacing w:after="40" w:line="266" w:lineRule="auto"/>
        <w:ind w:left="300" w:hanging="300"/>
      </w:pPr>
      <w:r>
        <w:rPr>
          <w:rFonts w:ascii="Arial" w:eastAsia="Arial" w:hAnsi="Arial"/>
          <w:b/>
          <w:bCs/>
          <w:color w:val="15512F"/>
        </w:rPr>
        <w:t xml:space="preserve">21.2  </w:t>
      </w:r>
      <w:r>
        <w:rPr>
          <w:rFonts w:ascii="Arial" w:eastAsia="Arial" w:hAnsi="Arial"/>
          <w:color w:val="1A1A1A"/>
        </w:rPr>
        <w:t>Each batch shall be certified by an Authorised/Qualified Person within the region before release for sale, supply or further distribution, in accordance with Annex 16. The certification confirms compliance with GMP and the marketing authorisation; where testing in the importing region is required and not waived by reliance, it shall be completed before certification. Records of importation, certification and any testing shall be retained and made available to the authority.</w:t>
      </w:r>
    </w:p>
    <w:p w14:paraId="1205079D" w14:textId="77777777" w:rsidR="00CD5946" w:rsidRDefault="00000000">
      <w:pPr>
        <w:bidi/>
        <w:spacing w:after="150" w:line="300" w:lineRule="auto"/>
        <w:ind w:right="300" w:hanging="300"/>
        <w:jc w:val="right"/>
      </w:pPr>
      <w:r>
        <w:rPr>
          <w:rFonts w:ascii="Arial" w:eastAsia="Arial" w:hAnsi="Arial"/>
          <w:color w:val="333333"/>
          <w:sz w:val="20"/>
          <w:szCs w:val="20"/>
          <w:rtl/>
        </w:rPr>
        <w:t>تُعتمد كل دفعة من شخص مؤهّل داخل المنطقة قبل الإفراج للبيع أو التوريد أو التوزيع، وفق الملحق ⁦</w:t>
      </w:r>
      <w:r>
        <w:rPr>
          <w:rFonts w:ascii="Arial" w:eastAsia="Arial" w:hAnsi="Arial"/>
          <w:color w:val="333333"/>
          <w:sz w:val="20"/>
          <w:szCs w:val="20"/>
        </w:rPr>
        <w:t>16.</w:t>
      </w:r>
      <w:r>
        <w:rPr>
          <w:rFonts w:ascii="Arial" w:eastAsia="Arial" w:hAnsi="Arial"/>
          <w:color w:val="333333"/>
          <w:sz w:val="20"/>
          <w:szCs w:val="20"/>
          <w:rtl/>
        </w:rPr>
        <w:t xml:space="preserve">⁩ ويؤكّد الاعتماد الامتثال لـ </w:t>
      </w:r>
      <w:r>
        <w:rPr>
          <w:rFonts w:ascii="Arial" w:eastAsia="Arial" w:hAnsi="Arial"/>
          <w:color w:val="333333"/>
          <w:sz w:val="20"/>
          <w:szCs w:val="20"/>
        </w:rPr>
        <w:t>GMP</w:t>
      </w:r>
      <w:r>
        <w:rPr>
          <w:rFonts w:ascii="Arial" w:eastAsia="Arial" w:hAnsi="Arial"/>
          <w:color w:val="333333"/>
          <w:sz w:val="20"/>
          <w:szCs w:val="20"/>
          <w:rtl/>
        </w:rPr>
        <w:t xml:space="preserve"> والترخيص؛ وحيث يُطلَب اختبار في منطقة الاستيراد ولم يُعفَ بالاعتماد يُكمَل قبل الاعتماد. وتُحفَظ سجلات الاستيراد والاعتماد والاختبار وتُتاح للسلطة.</w:t>
      </w:r>
      <w:r>
        <w:rPr>
          <w:rFonts w:ascii="Arial" w:eastAsia="Arial" w:hAnsi="Arial"/>
          <w:b/>
          <w:bCs/>
          <w:color w:val="15512F"/>
          <w:sz w:val="20"/>
          <w:szCs w:val="20"/>
          <w:rtl/>
        </w:rPr>
        <w:t xml:space="preserve">  ⁦</w:t>
      </w:r>
      <w:r>
        <w:rPr>
          <w:rFonts w:ascii="Arial" w:eastAsia="Arial" w:hAnsi="Arial"/>
          <w:b/>
          <w:bCs/>
          <w:color w:val="15512F"/>
          <w:sz w:val="20"/>
          <w:szCs w:val="20"/>
        </w:rPr>
        <w:t>21.2</w:t>
      </w:r>
      <w:r>
        <w:rPr>
          <w:rFonts w:ascii="Arial" w:eastAsia="Arial" w:hAnsi="Arial"/>
          <w:b/>
          <w:bCs/>
          <w:color w:val="15512F"/>
          <w:sz w:val="20"/>
          <w:szCs w:val="20"/>
          <w:rtl/>
        </w:rPr>
        <w:t>⁩</w:t>
      </w:r>
    </w:p>
    <w:p w14:paraId="6601D3D2" w14:textId="77777777" w:rsidR="00CD5946" w:rsidRDefault="00000000">
      <w:pPr>
        <w:pBdr>
          <w:left w:val="single" w:sz="6" w:space="8" w:color="CFCFCF"/>
        </w:pBd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This Annex is where the harmonisation thesis of the ARAB cGMP 2026 pays off in practice: a robust, regionally-consistent importation and reliance framework lets a batch assessed once by a trusted authority move across Arab markets without redundant re-testing — the operational dividend as Arab authorities accede to PIC/S (the SFDA is already a Participating Authority, JFDA joined on 1 January 2026, and further Arab authorities — including the UAE — are in application or pre-accession). Reliance never removes the importing QP’s legal responsibility (Annex 16).</w:t>
      </w:r>
    </w:p>
    <w:p w14:paraId="6F280B8F" w14:textId="77777777" w:rsidR="00CD5946" w:rsidRDefault="00000000">
      <w:pPr>
        <w:bidi/>
        <w:spacing w:after="140"/>
        <w:ind w:right="300"/>
        <w:jc w:val="right"/>
      </w:pPr>
      <w:r>
        <w:rPr>
          <w:rFonts w:ascii="Arial" w:eastAsia="Arial" w:hAnsi="Arial"/>
          <w:color w:val="5A5A5A"/>
          <w:sz w:val="18"/>
          <w:szCs w:val="18"/>
          <w:rtl/>
        </w:rPr>
        <w:t xml:space="preserve">في هذا الملحق تثمر فكرة المواءمة عمليّاً: فإطار استيراد واعتماد رصين ومتسق إقليميّاً يتيح لدفعة قُيّمت مرّة واحدة من جهة موثوقة أن تنتقل بين الأسواق العربية دون إعادة اختبار مكررة، وهو عائد عملي يتنامى مع انضمام الهيئات العربية إلى مخطّط التفتيش الدولي: الهيئة السعودية عضو مشارك، والمؤسسة الأردنية انضمّت في الأول من يناير 2026، وهيئات عربية أخرى في طور الانضمام. والاعتماد لا يُسقِط مسؤولية الشخص المؤهّل المستورد (الملحق ⁦16⁩).  ملاحظة.</w:t>
      </w:r>
    </w:p>
    <w:p w14:paraId="6E5058D8" w14:textId="77777777" w:rsidR="00CD5946" w:rsidRDefault="00000000">
      <w:pPr>
        <w:pStyle w:val="Heading2"/>
        <w:spacing w:before="220"/>
      </w:pPr>
      <w:bookmarkStart w:id="234" w:name="__RefHeading___Toc9625_1729075678"/>
      <w:bookmarkEnd w:id="234"/>
      <w:r>
        <w:t>2.  Glossary (Annex 21)</w:t>
      </w:r>
      <w:r>
        <w:rPr>
          <w:b w:val="0"/>
          <w:bCs w:val="0"/>
          <w:color w:val="1A1A1A"/>
          <w:sz w:val="21"/>
          <w:szCs w:val="21"/>
        </w:rPr>
        <w:t xml:space="preserve">   </w:t>
      </w:r>
      <w:r>
        <w:rPr>
          <w:color w:val="C8A24B"/>
          <w:sz w:val="20"/>
          <w:szCs w:val="20"/>
          <w:rtl/>
        </w:rPr>
        <w:t>مسرد الملحق</w:t>
      </w:r>
      <w:r>
        <w:rPr>
          <w:color w:val="C8A24B"/>
          <w:sz w:val="20"/>
          <w:szCs w:val="20"/>
        </w:rPr>
        <w:t xml:space="preserve"> ⁦21⁩</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700"/>
        <w:gridCol w:w="6660"/>
      </w:tblGrid>
      <w:tr w:rsidR="00CD5946" w14:paraId="2064CE49" w14:textId="77777777">
        <w:trPr>
          <w:tblHeader/>
        </w:trPr>
        <w:tc>
          <w:tcPr>
            <w:tcW w:w="2700" w:type="dxa"/>
            <w:tcBorders>
              <w:top w:val="single" w:sz="2" w:space="0" w:color="BFC9C0"/>
              <w:left w:val="single" w:sz="2" w:space="0" w:color="BFC9C0"/>
              <w:bottom w:val="single" w:sz="2" w:space="0" w:color="BFC9C0"/>
              <w:right w:val="single" w:sz="2" w:space="0" w:color="BFC9C0"/>
            </w:tcBorders>
            <w:shd w:val="clear" w:color="auto" w:fill="0E5A50"/>
          </w:tcPr>
          <w:p w14:paraId="1B6D45E4" w14:textId="77777777" w:rsidR="00CD5946" w:rsidRDefault="00000000">
            <w:pPr>
              <w:spacing w:after="0"/>
            </w:pPr>
            <w:r>
              <w:rPr>
                <w:rFonts w:ascii="Arial" w:eastAsia="Arial" w:hAnsi="Arial"/>
                <w:b/>
                <w:bCs/>
                <w:color w:val="FFFFFF"/>
                <w:sz w:val="18"/>
                <w:szCs w:val="18"/>
              </w:rPr>
              <w:t xml:space="preserve">Term / </w:t>
            </w:r>
            <w:r>
              <w:rPr>
                <w:rFonts w:ascii="Arial" w:eastAsia="Arial" w:hAnsi="Arial"/>
                <w:b/>
                <w:bCs/>
                <w:color w:val="FFFFFF"/>
                <w:sz w:val="18"/>
                <w:szCs w:val="18"/>
                <w:rtl/>
              </w:rPr>
              <w:t>المصطلح</w:t>
            </w:r>
          </w:p>
        </w:tc>
        <w:tc>
          <w:tcPr>
            <w:tcW w:w="6660" w:type="dxa"/>
            <w:tcBorders>
              <w:top w:val="single" w:sz="2" w:space="0" w:color="BFC9C0"/>
              <w:left w:val="single" w:sz="2" w:space="0" w:color="BFC9C0"/>
              <w:bottom w:val="single" w:sz="2" w:space="0" w:color="BFC9C0"/>
              <w:right w:val="single" w:sz="2" w:space="0" w:color="BFC9C0"/>
            </w:tcBorders>
            <w:shd w:val="clear" w:color="auto" w:fill="0E5A50"/>
          </w:tcPr>
          <w:p w14:paraId="4A1EF333" w14:textId="77777777" w:rsidR="00CD5946" w:rsidRDefault="00000000">
            <w:pPr>
              <w:spacing w:after="0"/>
            </w:pPr>
            <w:r>
              <w:rPr>
                <w:rFonts w:ascii="Arial" w:eastAsia="Arial" w:hAnsi="Arial"/>
                <w:b/>
                <w:bCs/>
                <w:color w:val="FFFFFF"/>
                <w:sz w:val="18"/>
                <w:szCs w:val="18"/>
              </w:rPr>
              <w:t xml:space="preserve">Definition / </w:t>
            </w:r>
            <w:r>
              <w:rPr>
                <w:rFonts w:ascii="Arial" w:eastAsia="Arial" w:hAnsi="Arial"/>
                <w:b/>
                <w:bCs/>
                <w:color w:val="FFFFFF"/>
                <w:sz w:val="18"/>
                <w:szCs w:val="18"/>
                <w:rtl/>
              </w:rPr>
              <w:t>التعريف</w:t>
            </w:r>
          </w:p>
        </w:tc>
      </w:tr>
      <w:tr w:rsidR="00CD5946" w14:paraId="4F49CE91"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564A896E" w14:textId="77777777" w:rsidR="00CD5946" w:rsidRDefault="00000000">
            <w:pPr>
              <w:spacing w:after="0"/>
            </w:pPr>
            <w:r>
              <w:rPr>
                <w:rFonts w:ascii="Arial" w:eastAsia="Arial" w:hAnsi="Arial"/>
                <w:b/>
                <w:bCs/>
                <w:color w:val="15512F"/>
                <w:sz w:val="18"/>
                <w:szCs w:val="18"/>
              </w:rPr>
              <w:t>Site of physical importation</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048722AC" w14:textId="77777777" w:rsidR="00CD5946" w:rsidRDefault="00000000">
            <w:pPr>
              <w:spacing w:after="0"/>
            </w:pPr>
            <w:r>
              <w:rPr>
                <w:rFonts w:ascii="Arial" w:eastAsia="Arial" w:hAnsi="Arial"/>
                <w:color w:val="1A1A1A"/>
                <w:sz w:val="18"/>
                <w:szCs w:val="18"/>
              </w:rPr>
              <w:t xml:space="preserve">The site where products physically enter the region from a third country. / </w:t>
            </w:r>
            <w:r>
              <w:rPr>
                <w:rFonts w:ascii="Arial" w:eastAsia="Arial" w:hAnsi="Arial"/>
                <w:color w:val="1A1A1A"/>
                <w:sz w:val="18"/>
                <w:szCs w:val="18"/>
                <w:rtl/>
              </w:rPr>
              <w:t>الموقع الذي تدخل منه المنتجات فعليّاً</w:t>
            </w:r>
            <w:r>
              <w:rPr>
                <w:rFonts w:ascii="Arial" w:eastAsia="Arial" w:hAnsi="Arial"/>
                <w:color w:val="1A1A1A"/>
                <w:sz w:val="18"/>
                <w:szCs w:val="18"/>
              </w:rPr>
              <w:t>.</w:t>
            </w:r>
          </w:p>
        </w:tc>
      </w:tr>
      <w:tr w:rsidR="00CD5946" w14:paraId="5E8200CE"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5D865F59" w14:textId="77777777" w:rsidR="00CD5946" w:rsidRDefault="00000000">
            <w:pPr>
              <w:spacing w:after="0"/>
            </w:pPr>
            <w:r>
              <w:rPr>
                <w:rFonts w:ascii="Arial" w:eastAsia="Arial" w:hAnsi="Arial"/>
                <w:b/>
                <w:bCs/>
                <w:color w:val="15512F"/>
                <w:sz w:val="18"/>
                <w:szCs w:val="18"/>
              </w:rPr>
              <w:t>Site of certification</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0704CEE6" w14:textId="77777777" w:rsidR="00CD5946" w:rsidRDefault="00000000">
            <w:pPr>
              <w:spacing w:after="0"/>
            </w:pPr>
            <w:r>
              <w:rPr>
                <w:rFonts w:ascii="Arial" w:eastAsia="Arial" w:hAnsi="Arial"/>
                <w:color w:val="1A1A1A"/>
                <w:sz w:val="18"/>
                <w:szCs w:val="18"/>
              </w:rPr>
              <w:t xml:space="preserve">The site where the Authorised/Qualified Person certifies the batch before release. / </w:t>
            </w:r>
            <w:r>
              <w:rPr>
                <w:rFonts w:ascii="Arial" w:eastAsia="Arial" w:hAnsi="Arial"/>
                <w:color w:val="1A1A1A"/>
                <w:sz w:val="18"/>
                <w:szCs w:val="18"/>
                <w:rtl/>
              </w:rPr>
              <w:t>موقع اعتماد الدفعة</w:t>
            </w:r>
            <w:r>
              <w:rPr>
                <w:rFonts w:ascii="Arial" w:eastAsia="Arial" w:hAnsi="Arial"/>
                <w:color w:val="1A1A1A"/>
                <w:sz w:val="18"/>
                <w:szCs w:val="18"/>
              </w:rPr>
              <w:t>.</w:t>
            </w:r>
          </w:p>
        </w:tc>
      </w:tr>
      <w:tr w:rsidR="00CD5946" w14:paraId="6F389025"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3C65C1F7" w14:textId="77777777" w:rsidR="00CD5946" w:rsidRDefault="00000000">
            <w:pPr>
              <w:spacing w:after="0"/>
            </w:pPr>
            <w:r>
              <w:rPr>
                <w:rFonts w:ascii="Arial" w:eastAsia="Arial" w:hAnsi="Arial"/>
                <w:b/>
                <w:bCs/>
                <w:color w:val="15512F"/>
                <w:sz w:val="18"/>
                <w:szCs w:val="18"/>
              </w:rPr>
              <w:t>Reliance</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26CF067C" w14:textId="77777777" w:rsidR="00CD5946" w:rsidRDefault="00000000">
            <w:pPr>
              <w:spacing w:after="0"/>
            </w:pPr>
            <w:r>
              <w:rPr>
                <w:rFonts w:ascii="Arial" w:eastAsia="Arial" w:hAnsi="Arial"/>
                <w:color w:val="1A1A1A"/>
                <w:sz w:val="18"/>
                <w:szCs w:val="18"/>
              </w:rPr>
              <w:t xml:space="preserve">Giving significant weight to a trusted authority’s assessment to avoid duplication, while retaining responsibility. / </w:t>
            </w:r>
            <w:r>
              <w:rPr>
                <w:rFonts w:ascii="Arial" w:eastAsia="Arial" w:hAnsi="Arial"/>
                <w:color w:val="1A1A1A"/>
                <w:sz w:val="18"/>
                <w:szCs w:val="18"/>
                <w:rtl/>
              </w:rPr>
              <w:t>الاعتماد على جهة موثوقة مع الاحتفاظ بالمسؤولية</w:t>
            </w:r>
            <w:r>
              <w:rPr>
                <w:rFonts w:ascii="Arial" w:eastAsia="Arial" w:hAnsi="Arial"/>
                <w:color w:val="1A1A1A"/>
                <w:sz w:val="18"/>
                <w:szCs w:val="18"/>
              </w:rPr>
              <w:t>.</w:t>
            </w:r>
          </w:p>
        </w:tc>
      </w:tr>
    </w:tbl>
    <w:p w14:paraId="67FED81F" w14:textId="77777777" w:rsidR="00CD5946" w:rsidRDefault="00000000">
      <w:pPr>
        <w:spacing w:before="260" w:after="0"/>
        <w:jc w:val="center"/>
      </w:pPr>
      <w:r>
        <w:rPr>
          <w:noProof/>
        </w:rPr>
        <w:drawing>
          <wp:inline distT="0" distB="0" distL="0" distR="0" wp14:anchorId="561F3E12" wp14:editId="079D215E">
            <wp:extent cx="876300" cy="1238250"/>
            <wp:effectExtent l="0" t="0" r="0" b="0"/>
            <wp:docPr id="19" name="Image18"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8"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36B600B1" w14:textId="77777777" w:rsidR="00CD5946" w:rsidRDefault="00000000">
      <w:pPr>
        <w:spacing w:before="50" w:after="0"/>
        <w:jc w:val="center"/>
      </w:pPr>
      <w:r>
        <w:rPr>
          <w:rFonts w:ascii="Arial" w:eastAsia="Arial" w:hAnsi="Arial"/>
          <w:b/>
          <w:bCs/>
          <w:color w:val="15512F"/>
          <w:sz w:val="19"/>
          <w:szCs w:val="19"/>
        </w:rPr>
        <w:t>AUPAM EXPERTS' OFFICE</w:t>
      </w:r>
    </w:p>
    <w:p w14:paraId="7F45618F"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23BCB44B" w14:textId="77777777" w:rsidR="00CD5946" w:rsidRDefault="00000000">
      <w:pPr>
        <w:spacing w:before="10" w:after="0"/>
        <w:jc w:val="center"/>
      </w:pPr>
      <w:r>
        <w:rPr>
          <w:rFonts w:ascii="Arial" w:eastAsia="Arial" w:hAnsi="Arial"/>
          <w:b/>
          <w:bCs/>
          <w:color w:val="B08C37"/>
          <w:sz w:val="24"/>
          <w:szCs w:val="24"/>
        </w:rPr>
        <w:t>2026 EDITION</w:t>
      </w:r>
    </w:p>
    <w:p w14:paraId="195D7924" w14:textId="77777777" w:rsidR="00CD5946" w:rsidRDefault="00000000">
      <w:pPr>
        <w:spacing w:before="260" w:after="0"/>
        <w:jc w:val="center"/>
      </w:pPr>
      <w:r>
        <w:rPr>
          <w:rFonts w:ascii="Arial" w:eastAsia="Arial" w:hAnsi="Arial"/>
          <w:b/>
          <w:bCs/>
          <w:color w:val="15512F"/>
          <w:sz w:val="54"/>
          <w:szCs w:val="54"/>
        </w:rPr>
        <w:lastRenderedPageBreak/>
        <w:t>ANNEX A-DI</w:t>
      </w:r>
    </w:p>
    <w:p w14:paraId="31FD1007" w14:textId="77777777" w:rsidR="00CD5946" w:rsidRDefault="00000000">
      <w:pPr>
        <w:spacing w:before="40" w:after="0"/>
        <w:jc w:val="center"/>
      </w:pPr>
      <w:r>
        <w:rPr>
          <w:rFonts w:ascii="Arial" w:eastAsia="Arial" w:hAnsi="Arial"/>
          <w:b/>
          <w:bCs/>
          <w:color w:val="1A1A1A"/>
          <w:sz w:val="28"/>
          <w:szCs w:val="28"/>
        </w:rPr>
        <w:t>Data Integrity</w:t>
      </w:r>
    </w:p>
    <w:p w14:paraId="545CADFD" w14:textId="77777777" w:rsidR="00CD5946" w:rsidRDefault="00000000">
      <w:pPr>
        <w:spacing w:before="16" w:after="0"/>
        <w:jc w:val="center"/>
      </w:pPr>
      <w:r>
        <w:rPr>
          <w:rFonts w:ascii="Arial" w:eastAsia="Arial" w:hAnsi="Arial"/>
          <w:color w:val="5A5A5A"/>
          <w:sz w:val="22"/>
          <w:szCs w:val="22"/>
        </w:rPr>
        <w:t>ALCOA+ · data governance · audit-trail review · EN | AR</w:t>
      </w:r>
    </w:p>
    <w:p w14:paraId="028BADC3" w14:textId="77777777" w:rsidR="00CD5946" w:rsidRDefault="00000000">
      <w:pPr>
        <w:spacing w:before="26" w:after="0"/>
        <w:jc w:val="center"/>
      </w:pPr>
      <w:r>
        <w:rPr>
          <w:rFonts w:ascii="Arial" w:eastAsia="Arial" w:hAnsi="Arial"/>
          <w:b/>
          <w:bCs/>
          <w:color w:val="15512F"/>
          <w:sz w:val="22"/>
          <w:szCs w:val="22"/>
          <w:rtl/>
        </w:rPr>
        <w:t>الملحق</w:t>
      </w:r>
      <w:r>
        <w:rPr>
          <w:rFonts w:ascii="Arial" w:eastAsia="Arial" w:hAnsi="Arial"/>
          <w:b/>
          <w:bCs/>
          <w:color w:val="15512F"/>
          <w:sz w:val="22"/>
          <w:szCs w:val="22"/>
        </w:rPr>
        <w:t xml:space="preserve"> A-DI — </w:t>
      </w:r>
      <w:r>
        <w:rPr>
          <w:rFonts w:ascii="Arial" w:eastAsia="Arial" w:hAnsi="Arial"/>
          <w:b/>
          <w:bCs/>
          <w:color w:val="15512F"/>
          <w:sz w:val="22"/>
          <w:szCs w:val="22"/>
          <w:rtl/>
        </w:rPr>
        <w:t>سلامة البيانات</w:t>
      </w:r>
    </w:p>
    <w:p w14:paraId="4395C611"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63DC44CE" w14:textId="77777777" w:rsidR="00CD5946" w:rsidRDefault="00000000">
      <w:r>
        <w:br w:type="page"/>
      </w:r>
    </w:p>
    <w:p w14:paraId="14488062" w14:textId="77777777" w:rsidR="00CD5946" w:rsidRDefault="00000000">
      <w:pPr>
        <w:pStyle w:val="Heading1"/>
        <w:spacing w:before="0"/>
      </w:pPr>
      <w:bookmarkStart w:id="235" w:name="__RefHeading___Toc9627_1729075678"/>
      <w:bookmarkEnd w:id="235"/>
      <w:r>
        <w:lastRenderedPageBreak/>
        <w:t>Contents</w:t>
      </w:r>
    </w:p>
    <w:sdt>
      <w:sdtPr>
        <w:id w:val="-1827354136"/>
        <w:docPartObj>
          <w:docPartGallery w:val="Table of Contents"/>
          <w:docPartUnique/>
        </w:docPartObj>
      </w:sdtPr>
      <w:sdtContent>
        <w:p w14:paraId="3C71F882"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7B5762F2"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627BE84E"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468BE50F"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7FDF396D"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31AB07A7"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095171A8"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1481E14C"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55ACDAFA"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635995C4"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7ED35E16"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0DCD62B0"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1B4FB49C"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5BD080C3"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68E8AC9A"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41328223"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49B74BA9"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17DE6F29"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4B5B266D"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02DDF5B9"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182870AF"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62779F13"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221E80E8"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0744186E"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5A69E6C3"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2BC6A686"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7EEF3ACB"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3AAF6EF7"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7740BEE3"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09E7FD69"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23F14AD6"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7AD0B53A"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33C568D5"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37538979"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1ACDB57C"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60B8174F"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1163138F"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20F210F8"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0181C088"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69C3CAFD"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174F44D9"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5710FE37"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41F56576"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7E4245C4"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4F7B719B"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4DC21575"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29BE14A7"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7C2B1AC3"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1CAEB1B7"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74E46B28"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79EFC7C7"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7ED00D02"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0E8FFF57"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45435897"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43AA643C"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7AD4214B"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370E2FBC"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364A11F2"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529F31CD"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40466ADA"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687DFDD1"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447F25D9"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5CDBD763"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78E2DDD5"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326531A9"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6F2EEED8"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768DB520"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356A72C1"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4FC11FC4"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3EEC913F"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148CFF12"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00221F93"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3821E933"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07FC161C" w14:textId="77777777" w:rsidR="00CD5946" w:rsidRDefault="00CD5946"/>
    <w:p w14:paraId="6CE8E418" w14:textId="77777777" w:rsidR="00CD5946" w:rsidRDefault="00000000">
      <w:pPr>
        <w:pStyle w:val="Heading1"/>
      </w:pPr>
      <w:bookmarkStart w:id="236" w:name="__RefHeading___Toc9629_1729075678"/>
      <w:bookmarkEnd w:id="236"/>
      <w:r>
        <w:t xml:space="preserve">Arab Annex A-DI — Data Integrity  ·  </w:t>
      </w:r>
      <w:r>
        <w:rPr>
          <w:rtl/>
        </w:rPr>
        <w:t>الملحق العربي</w:t>
      </w:r>
      <w:r>
        <w:t xml:space="preserve"> A-DI — </w:t>
      </w:r>
      <w:r>
        <w:rPr>
          <w:rtl/>
        </w:rPr>
        <w:t>سلامة البيانات</w:t>
      </w:r>
    </w:p>
    <w:p w14:paraId="3D836833" w14:textId="77777777" w:rsidR="00CD5946" w:rsidRDefault="00000000">
      <w:pPr>
        <w:spacing w:before="10" w:after="150"/>
      </w:pPr>
      <w:r>
        <w:rPr>
          <w:rFonts w:ascii="Arial" w:eastAsia="Arial" w:hAnsi="Arial"/>
          <w:b/>
          <w:bCs/>
          <w:color w:val="C8A24B"/>
          <w:sz w:val="17"/>
          <w:szCs w:val="17"/>
        </w:rPr>
        <w:t xml:space="preserve">Harmonised with: </w:t>
      </w:r>
      <w:r>
        <w:rPr>
          <w:rFonts w:ascii="Arial" w:eastAsia="Arial" w:hAnsi="Arial"/>
          <w:i/>
          <w:iCs/>
          <w:color w:val="5A5A5A"/>
          <w:sz w:val="17"/>
          <w:szCs w:val="17"/>
        </w:rPr>
        <w:t>PIC/S PI 041-1 (2021) · US FDA Data Integrity Guidance (2018); 21 CFR Part 11 · WHO TRS 1033 Annex 4 · MHRA GxP Data Integrity (2018) · EU GMP Chapter 4 &amp; Annex 11 · SFDA v4.4</w:t>
      </w:r>
    </w:p>
    <w:p w14:paraId="7541538D" w14:textId="77777777" w:rsidR="00CD5946" w:rsidRDefault="00000000">
      <w:pPr>
        <w:pBdr>
          <w:left w:val="single" w:sz="16" w:space="8" w:color="C8A24B"/>
        </w:pBdr>
        <w:spacing w:after="40"/>
        <w:ind w:left="160"/>
      </w:pPr>
      <w:r>
        <w:rPr>
          <w:rFonts w:ascii="Arial" w:eastAsia="Arial" w:hAnsi="Arial"/>
          <w:b/>
          <w:bCs/>
          <w:color w:val="C8A24B"/>
        </w:rPr>
        <w:t xml:space="preserve">Principle.  </w:t>
      </w:r>
      <w:r>
        <w:rPr>
          <w:rFonts w:ascii="Arial" w:eastAsia="Arial" w:hAnsi="Arial"/>
          <w:color w:val="1A1A1A"/>
        </w:rPr>
        <w:t>Data integrity is the degree to which data are complete, consistent, accurate, trustworthy and reliable throughout the data lifecycle. It is fundamental to a pharmaceutical quality system that ensures medicines are of the required quality. The effort and resources assigned to data governance shall be commensurate with the risk to product quality and shall be balanced with other quality-assurance resource demands. Arrangements shall ensure that data, whether paper or electronic, satisfy the ALCOA+ attributes and that the organisational culture supports transparent and open reporting of errors, omissions and undesirable results.</w:t>
      </w:r>
    </w:p>
    <w:p w14:paraId="662F3F0F" w14:textId="77777777" w:rsidR="00CD5946" w:rsidRDefault="00000000">
      <w:pPr>
        <w:bidi/>
        <w:spacing w:after="150"/>
        <w:ind w:right="160"/>
        <w:jc w:val="right"/>
      </w:pPr>
      <w:r>
        <w:rPr>
          <w:rFonts w:ascii="Arial" w:eastAsia="Arial" w:hAnsi="Arial"/>
          <w:b/>
          <w:bCs/>
          <w:color w:val="C8A24B"/>
          <w:sz w:val="20"/>
          <w:szCs w:val="20"/>
          <w:rtl/>
        </w:rPr>
        <w:t xml:space="preserve">المبدأ. </w:t>
      </w:r>
      <w:r>
        <w:rPr>
          <w:rFonts w:ascii="Arial" w:eastAsia="Arial" w:hAnsi="Arial"/>
          <w:color w:val="333333"/>
          <w:sz w:val="20"/>
          <w:szCs w:val="20"/>
          <w:rtl/>
        </w:rPr>
        <w:t xml:space="preserve">سلامة البيانات هي درجة اكتمالها واتساقها ودقّتها وموثوقيتها طوال دورة حياتها، وهي أساسية لنظام جودة يضمن جودة الدواء. وتتناسب الجهود والموارد المخصّصة لحوكمة البيانات مع المخاطر على الجودة. وتضمن الترتيبات أن تستوفي البيانات — ورقية أو إلكترونية — سمات </w:t>
      </w:r>
      <w:r>
        <w:rPr>
          <w:rFonts w:ascii="Arial" w:eastAsia="Arial" w:hAnsi="Arial"/>
          <w:color w:val="333333"/>
          <w:sz w:val="20"/>
          <w:szCs w:val="20"/>
        </w:rPr>
        <w:t>ALCOA</w:t>
      </w:r>
      <w:r>
        <w:rPr>
          <w:rFonts w:ascii="Arial" w:eastAsia="Arial" w:hAnsi="Arial"/>
          <w:color w:val="333333"/>
          <w:sz w:val="20"/>
          <w:szCs w:val="20"/>
          <w:rtl/>
        </w:rPr>
        <w:t>+، وأن تدعم الثقافة التنظيمية الإبلاغ الشفّاف عن الأخطاء والنتائج غير المرغوبة.</w:t>
      </w:r>
    </w:p>
    <w:p w14:paraId="3D92FF96" w14:textId="77777777" w:rsidR="00CD5946" w:rsidRDefault="00000000">
      <w:pPr>
        <w:pBdr>
          <w:left w:val="single" w:sz="10" w:space="8" w:color="CFCFCF"/>
        </w:pBdr>
        <w:spacing w:before="60" w:after="30"/>
        <w:ind w:left="160"/>
      </w:pPr>
      <w:r>
        <w:rPr>
          <w:rFonts w:ascii="Arial" w:eastAsia="Arial" w:hAnsi="Arial"/>
          <w:b/>
          <w:bCs/>
          <w:color w:val="15512F"/>
          <w:sz w:val="20"/>
          <w:szCs w:val="20"/>
        </w:rPr>
        <w:t xml:space="preserve">Scope.  </w:t>
      </w:r>
      <w:r>
        <w:rPr>
          <w:rFonts w:ascii="Arial" w:eastAsia="Arial" w:hAnsi="Arial"/>
          <w:color w:val="1A1A1A"/>
          <w:sz w:val="20"/>
          <w:szCs w:val="20"/>
        </w:rPr>
        <w:t>This Annex applies to data created, processed, retained and used in all GMP activities, in paper, electronic and hybrid form. It is read together with Chapter 4 (Documentation) and Annex 11 (Computerised Systems).</w:t>
      </w:r>
    </w:p>
    <w:p w14:paraId="4B63EEDD" w14:textId="77777777" w:rsidR="00CD5946" w:rsidRDefault="00000000">
      <w:pPr>
        <w:bidi/>
        <w:spacing w:after="150"/>
        <w:ind w:right="160"/>
        <w:jc w:val="right"/>
      </w:pPr>
      <w:r>
        <w:rPr>
          <w:rFonts w:ascii="Arial" w:eastAsia="Arial" w:hAnsi="Arial"/>
          <w:b/>
          <w:bCs/>
          <w:color w:val="15512F"/>
          <w:sz w:val="20"/>
          <w:szCs w:val="20"/>
          <w:rtl/>
        </w:rPr>
        <w:t xml:space="preserve">النطاق. </w:t>
      </w:r>
      <w:r>
        <w:rPr>
          <w:rFonts w:ascii="Arial" w:eastAsia="Arial" w:hAnsi="Arial"/>
          <w:color w:val="333333"/>
          <w:sz w:val="20"/>
          <w:szCs w:val="20"/>
          <w:rtl/>
        </w:rPr>
        <w:t xml:space="preserve">ينطبق على البيانات المُنشأة والمُعالَجة والمحفوظة في كل أنشطة </w:t>
      </w:r>
      <w:r>
        <w:rPr>
          <w:rFonts w:ascii="Arial" w:eastAsia="Arial" w:hAnsi="Arial"/>
          <w:color w:val="333333"/>
          <w:sz w:val="20"/>
          <w:szCs w:val="20"/>
        </w:rPr>
        <w:t>GMP</w:t>
      </w:r>
      <w:r>
        <w:rPr>
          <w:rFonts w:ascii="Arial" w:eastAsia="Arial" w:hAnsi="Arial"/>
          <w:color w:val="333333"/>
          <w:sz w:val="20"/>
          <w:szCs w:val="20"/>
          <w:rtl/>
        </w:rPr>
        <w:t xml:space="preserve"> — ورقية وإلكترونية وهجينة — ويُقرأ مع الفصل ⁦</w:t>
      </w:r>
      <w:r>
        <w:rPr>
          <w:rFonts w:ascii="Arial" w:eastAsia="Arial" w:hAnsi="Arial"/>
          <w:color w:val="333333"/>
          <w:sz w:val="20"/>
          <w:szCs w:val="20"/>
        </w:rPr>
        <w:t>4</w:t>
      </w:r>
      <w:r>
        <w:rPr>
          <w:rFonts w:ascii="Arial" w:eastAsia="Arial" w:hAnsi="Arial"/>
          <w:color w:val="333333"/>
          <w:sz w:val="20"/>
          <w:szCs w:val="20"/>
          <w:rtl/>
        </w:rPr>
        <w:t>⁩ والملحق ⁦</w:t>
      </w:r>
      <w:r>
        <w:rPr>
          <w:rFonts w:ascii="Arial" w:eastAsia="Arial" w:hAnsi="Arial"/>
          <w:color w:val="333333"/>
          <w:sz w:val="20"/>
          <w:szCs w:val="20"/>
        </w:rPr>
        <w:t>11.</w:t>
      </w:r>
      <w:r>
        <w:rPr>
          <w:rFonts w:ascii="Arial" w:eastAsia="Arial" w:hAnsi="Arial"/>
          <w:color w:val="333333"/>
          <w:sz w:val="20"/>
          <w:szCs w:val="20"/>
          <w:rtl/>
        </w:rPr>
        <w:t>⁩</w:t>
      </w:r>
    </w:p>
    <w:p w14:paraId="53CF782A" w14:textId="77777777" w:rsidR="00CD5946" w:rsidRDefault="00000000">
      <w:pPr>
        <w:pStyle w:val="Heading2"/>
        <w:spacing w:before="220"/>
      </w:pPr>
      <w:bookmarkStart w:id="237" w:name="__RefHeading___Toc9631_1729075678"/>
      <w:bookmarkEnd w:id="237"/>
      <w:r>
        <w:t>1.  Data governance and ALCOA+</w:t>
      </w:r>
      <w:r>
        <w:rPr>
          <w:b w:val="0"/>
          <w:bCs w:val="0"/>
          <w:color w:val="1A1A1A"/>
          <w:sz w:val="21"/>
          <w:szCs w:val="21"/>
        </w:rPr>
        <w:t xml:space="preserve">   </w:t>
      </w:r>
      <w:r>
        <w:rPr>
          <w:color w:val="C8A24B"/>
          <w:sz w:val="20"/>
          <w:szCs w:val="20"/>
          <w:rtl/>
        </w:rPr>
        <w:t>حوكمة البيانات و</w:t>
      </w:r>
      <w:r>
        <w:rPr>
          <w:color w:val="C8A24B"/>
          <w:sz w:val="20"/>
          <w:szCs w:val="20"/>
        </w:rPr>
        <w:t>ALCOA+</w:t>
      </w:r>
    </w:p>
    <w:p w14:paraId="5941C1F7" w14:textId="77777777" w:rsidR="00CD5946" w:rsidRDefault="00000000">
      <w:pPr>
        <w:spacing w:after="40" w:line="266" w:lineRule="auto"/>
        <w:ind w:left="300" w:hanging="300"/>
      </w:pPr>
      <w:r>
        <w:rPr>
          <w:rFonts w:ascii="Arial" w:eastAsia="Arial" w:hAnsi="Arial"/>
          <w:b/>
          <w:bCs/>
          <w:color w:val="15512F"/>
        </w:rPr>
        <w:t xml:space="preserve">DI.1  </w:t>
      </w:r>
      <w:r>
        <w:rPr>
          <w:rFonts w:ascii="Arial" w:eastAsia="Arial" w:hAnsi="Arial"/>
          <w:color w:val="1A1A1A"/>
        </w:rPr>
        <w:t>A data-governance system shall be implemented as part of the PQS, defining the controls over the creation, modification, processing, retention, retrieval and disposal of data across the lifecycle, proportionate to risk. The system shall address: the criticality of the data; whether data are static or dynamic; the use of audit trails and their review; access control and segregation of duties; and the validation/qualification of the systems and methods that generate the data.</w:t>
      </w:r>
    </w:p>
    <w:p w14:paraId="4ABB1159" w14:textId="77777777" w:rsidR="00CD5946" w:rsidRDefault="00000000">
      <w:pPr>
        <w:bidi/>
        <w:spacing w:after="150" w:line="300" w:lineRule="auto"/>
        <w:ind w:right="300" w:hanging="300"/>
        <w:jc w:val="right"/>
      </w:pPr>
      <w:r>
        <w:rPr>
          <w:rFonts w:ascii="Arial" w:eastAsia="Arial" w:hAnsi="Arial"/>
          <w:color w:val="333333"/>
          <w:sz w:val="20"/>
          <w:szCs w:val="20"/>
          <w:rtl/>
        </w:rPr>
        <w:lastRenderedPageBreak/>
        <w:t>يُطبّق نظام حوكمة للبيانات ضمن نظام الجودة، يحدّد ضوابط الإنشاء والتعديل والمعالجة والحفظ والاسترجاع والتخلّص بما يتناسب مع المخاطر، ويتناول: حرجيّة البيانات؛ وكونها ثابتة أم دينامية؛ ومسارات التدقيق ومراجعتها؛ وضبط الوصول وفصل الواجبات؛ وتأهيل/تحقّق الأنظمة والطرائق.</w:t>
      </w:r>
      <w:r>
        <w:rPr>
          <w:rFonts w:ascii="Arial" w:eastAsia="Arial" w:hAnsi="Arial"/>
          <w:b/>
          <w:bCs/>
          <w:color w:val="15512F"/>
          <w:sz w:val="20"/>
          <w:szCs w:val="20"/>
          <w:rtl/>
        </w:rPr>
        <w:t xml:space="preserve">  </w:t>
      </w:r>
      <w:r>
        <w:rPr>
          <w:rFonts w:ascii="Arial" w:eastAsia="Arial" w:hAnsi="Arial"/>
          <w:b/>
          <w:bCs/>
          <w:color w:val="15512F"/>
          <w:sz w:val="20"/>
          <w:szCs w:val="20"/>
        </w:rPr>
        <w:t>DI</w:t>
      </w:r>
      <w:r>
        <w:rPr>
          <w:rFonts w:ascii="Arial" w:eastAsia="Arial" w:hAnsi="Arial"/>
          <w:b/>
          <w:bCs/>
          <w:color w:val="15512F"/>
          <w:sz w:val="20"/>
          <w:szCs w:val="20"/>
          <w:rtl/>
        </w:rPr>
        <w:t>.⁦</w:t>
      </w:r>
      <w:r>
        <w:rPr>
          <w:rFonts w:ascii="Arial" w:eastAsia="Arial" w:hAnsi="Arial"/>
          <w:b/>
          <w:bCs/>
          <w:color w:val="15512F"/>
          <w:sz w:val="20"/>
          <w:szCs w:val="20"/>
        </w:rPr>
        <w:t>1</w:t>
      </w:r>
      <w:r>
        <w:rPr>
          <w:rFonts w:ascii="Arial" w:eastAsia="Arial" w:hAnsi="Arial"/>
          <w:b/>
          <w:bCs/>
          <w:color w:val="15512F"/>
          <w:sz w:val="20"/>
          <w:szCs w:val="20"/>
          <w:rtl/>
        </w:rPr>
        <w:t>⁩</w:t>
      </w:r>
    </w:p>
    <w:p>
      <w:pPr>
        <w:spacing w:after="40" w:line="266" w:lineRule="auto"/>
        <w:ind w:left="300" w:hanging="300"/>
      </w:pPr>
      <w:r>
        <w:rPr>
          <w:rFonts w:ascii="Arial" w:eastAsia="Arial" w:hAnsi="Arial"/>
          <w:b/>
          <w:bCs/>
          <w:color w:val="15512F"/>
        </w:rPr>
        <w:t xml:space="preserve">DI.2  Blank forms and true copies. Master templates and blank forms/worksheets shall be controlled: issued in a numbered, reconciled manner, with unused and spoiled forms retained or accounted for. A true-copy process shall define how copies of original records are verified as complete and accurate, including all relevant metadata; the original record — including electronic raw data and its audit trail — remains the retained record unless a verified true copy demonstrably preserves the full content and meaning.</w:t>
      </w:r>
    </w:p>
    <w:p>
      <w:pPr>
        <w:bidi/>
        <w:spacing w:after="150" w:line="300" w:lineRule="auto"/>
        <w:ind w:right="300" w:hanging="300"/>
        <w:jc w:val="right"/>
      </w:pPr>
      <w:r>
        <w:rPr>
          <w:rFonts w:ascii="Arial" w:eastAsia="Arial" w:hAnsi="Arial"/>
          <w:color w:val="333333"/>
          <w:sz w:val="20"/>
          <w:szCs w:val="20"/>
          <w:rtl/>
        </w:rPr>
        <w:t xml:space="preserve">DI.2  النماذج الفارغة والنسخ المطابقة: تُضبط القوالب الأم والنماذج الفارغة إصداراً مرقّماً ومطابَقاً، مع حفظ النماذج غير المستخدمة أو التالفة أو تسويغها. وتُحدَّد عملية النسخة المطابقة كيفية التحقّق من اكتمال النسخ ودقّتها بما فيها البيانات الوصفية؛ ويبقى الأصل، ومنه البيانات الخام الإلكترونية ومسار تدقيقها، هو السجل المحفوظ.</w:t>
      </w:r>
    </w:p>
    <w:p>
      <w:pPr>
        <w:spacing w:after="40" w:line="266" w:lineRule="auto"/>
        <w:ind w:left="300" w:hanging="300"/>
      </w:pPr>
      <w:r>
        <w:rPr>
          <w:rFonts w:ascii="Arial" w:eastAsia="Arial" w:hAnsi="Arial"/>
          <w:b/>
          <w:bCs/>
          <w:color w:val="15512F"/>
        </w:rPr>
        <w:t xml:space="preserve">DI.3  Hybrid systems. Hybrid situations (an electronic system supported by paper printouts and handwritten signatures) shall be identified, justified and controlled; the electronic record remains the original record. Hybrid systems should be replaced by fully electronic solutions where practicable.</w:t>
      </w:r>
    </w:p>
    <w:p>
      <w:pPr>
        <w:bidi/>
        <w:spacing w:after="150" w:line="300" w:lineRule="auto"/>
        <w:ind w:right="300" w:hanging="300"/>
        <w:jc w:val="right"/>
      </w:pPr>
      <w:r>
        <w:rPr>
          <w:rFonts w:ascii="Arial" w:eastAsia="Arial" w:hAnsi="Arial"/>
          <w:color w:val="333333"/>
          <w:sz w:val="20"/>
          <w:szCs w:val="20"/>
          <w:rtl/>
        </w:rPr>
        <w:t xml:space="preserve">DI.3  الأنظمة الهجينة: تُحدَّد الحالات الهجينة (نظام إلكتروني مع مطبوعات وتوقيعات يدوية) وتُبرَّر وتُضبط؛ ويبقى السجل الإلكتروني هو الأصل. ويُفضَّل الاستعاضة عن الأنظمة الهجينة بحلول إلكترونية كاملة حيث أمكن.</w:t>
      </w:r>
    </w:p>
    <w:p>
      <w:pPr>
        <w:spacing w:after="40" w:line="266" w:lineRule="auto"/>
        <w:ind w:left="300" w:hanging="300"/>
      </w:pPr>
      <w:r>
        <w:rPr>
          <w:rFonts w:ascii="Arial" w:eastAsia="Arial" w:hAnsi="Arial"/>
          <w:b/>
          <w:bCs/>
          <w:color w:val="15512F"/>
        </w:rPr>
        <w:t xml:space="preserve">DI.4  Audit-trail and data review. A written procedure shall define audit-trail review: the systems and entries covered, the reviewer, the frequency (risk-based; for data supporting batch release, normally with each batch), and how the review — including relevant metadata and exception reports — is documented. Data review shall include the original electronic data, not printouts alone.</w:t>
      </w:r>
    </w:p>
    <w:p>
      <w:pPr>
        <w:bidi/>
        <w:spacing w:after="150" w:line="300" w:lineRule="auto"/>
        <w:ind w:right="300" w:hanging="300"/>
        <w:jc w:val="right"/>
      </w:pPr>
      <w:r>
        <w:rPr>
          <w:rFonts w:ascii="Arial" w:eastAsia="Arial" w:hAnsi="Arial"/>
          <w:color w:val="333333"/>
          <w:sz w:val="20"/>
          <w:szCs w:val="20"/>
          <w:rtl/>
        </w:rPr>
        <w:t xml:space="preserve">DI.4  مراجعة مسار التدقيق والبيانات: يحدّد إجراء مكتوب نطاق مراجعة مسار التدقيق والمراجِع والتواتر (قائم على المخاطر؛ ولبيانات الإفراج عن التشغيلة مع كل تشغيلة عادةً) وكيفية توثيق المراجعة بما فيها البيانات الوصفية وتقارير الاستثناء. وتشمل مراجعة البيانات الأصلَ الإلكتروني لا المطبوعات وحدها.</w:t>
      </w:r>
    </w:p>
    <w:p>
      <w:pPr>
        <w:spacing w:after="40" w:line="266" w:lineRule="auto"/>
        <w:ind w:left="300" w:hanging="300"/>
      </w:pPr>
      <w:r>
        <w:rPr>
          <w:rFonts w:ascii="Arial" w:eastAsia="Arial" w:hAnsi="Arial"/>
          <w:b/>
          <w:bCs/>
          <w:color w:val="15512F"/>
        </w:rPr>
        <w:t xml:space="preserve">DI.5  Outsourced activities and cloud services. Where GMP data are generated, processed or stored by contract facilities or third-party (cloud/SaaS) providers, the contract giver shall qualify the provider and define contractually the data ownership, access (including audit-trail access), configuration control, security, retention and return/destruction of data, and shall periodically verify compliance. Accountability for data integrity remains with the regulated user.</w:t>
      </w:r>
    </w:p>
    <w:p>
      <w:pPr>
        <w:bidi/>
        <w:spacing w:after="150" w:line="300" w:lineRule="auto"/>
        <w:ind w:right="300" w:hanging="300"/>
        <w:jc w:val="right"/>
      </w:pPr>
      <w:r>
        <w:rPr>
          <w:rFonts w:ascii="Arial" w:eastAsia="Arial" w:hAnsi="Arial"/>
          <w:color w:val="333333"/>
          <w:sz w:val="20"/>
          <w:szCs w:val="20"/>
          <w:rtl/>
        </w:rPr>
        <w:t xml:space="preserve">DI.5  الأنشطة المسندة والخدمات السحابية: حيث تُنشأ بيانات GMP أو تُعالَج أو تُخزَّن لدى متعاقدين أو مقدّمي خدمات سحابية، يؤهّل مانحُ العقد المورّدَ ويحدّد تعاقدياً ملكية البيانات والوصول إليها (بما فيه مسار التدقيق) وضبط التهيئة والأمن والحفظ والإعادة أو الإتلاف، ويتحقّق دورياً من الامتثال. وتبقى المسؤولية على المستخدم الخاضع للتنظيم.</w:t>
      </w:r>
    </w:p>
    <w:p>
      <w:pPr>
        <w:spacing w:after="40" w:line="266" w:lineRule="auto"/>
        <w:ind w:left="300" w:hanging="300"/>
      </w:pPr>
      <w:r>
        <w:rPr>
          <w:rFonts w:ascii="Arial" w:eastAsia="Arial" w:hAnsi="Arial"/>
          <w:b/>
          <w:bCs/>
          <w:color w:val="15512F"/>
        </w:rPr>
        <w:t xml:space="preserve">DI.6  Failures, culture and dynamic records. Data-integrity failures shall be investigated under the deviation system, with assessment of impact on product, patients and submitted data, effective CAPA and, where required, notification to the competent authority. The PQS shall foster an open culture in which personnel can raise data-integrity concerns without fear of reprisal, and the maturity of data governance shall be periodically assessed. Dynamic records shall be retained in dynamic form for the applicable retention period.</w:t>
      </w:r>
    </w:p>
    <w:p>
      <w:pPr>
        <w:bidi/>
        <w:spacing w:after="150" w:line="300" w:lineRule="auto"/>
        <w:ind w:right="300" w:hanging="300"/>
        <w:jc w:val="right"/>
      </w:pPr>
      <w:r>
        <w:rPr>
          <w:rFonts w:ascii="Arial" w:eastAsia="Arial" w:hAnsi="Arial"/>
          <w:color w:val="333333"/>
          <w:sz w:val="20"/>
          <w:szCs w:val="20"/>
          <w:rtl/>
        </w:rPr>
        <w:t xml:space="preserve">DI.6  الإخفاقات والثقافة والسجلات الدينامية: تُحقَّق إخفاقات سلامة البيانات ضمن نظام الانحرافات مع تقييم الأثر على المنتج والمرضى والبيانات المقدَّمة، وإجراءات تصحيحية فعّالة، وإبلاغ الجهة المختصة عند اللزوم. ويرعى نظام الجودة ثقافة مفتوحة تتيح الإبلاغ عن مخاوف سلامة البيانات دون خوف، ويُقيَّم نضج حوكمة البيانات دورياً. وتُحفَظ السجلات الدينامية بصيغة دينامية طوال مدّة الحفظ.</w:t>
      </w:r>
    </w:p>
    <w:p w14:paraId="05955D66" w14:textId="77777777" w:rsidR="00CD5946" w:rsidRDefault="00000000">
      <w:pPr>
        <w:pBdr>
          <w:left w:val="single" w:sz="6" w:space="8" w:color="CFCFCF"/>
        </w:pBd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ALCOA = Attributable, Legible, Contemporaneous, Original, Accurate. The “+” adds Complete, Consistent, Enduring and Available. A frequent inspection finding is the “original record” being discarded after transcription — the original (including the electronic raw data and its audit trail) is the record that must be retained, not merely a printout.</w:t>
      </w:r>
    </w:p>
    <w:p w14:paraId="4E2CD245" w14:textId="77777777" w:rsidR="00CD5946" w:rsidRDefault="00000000">
      <w:pPr>
        <w:bidi/>
        <w:spacing w:after="140"/>
        <w:ind w:right="300"/>
        <w:jc w:val="right"/>
      </w:pPr>
      <w:r>
        <w:rPr>
          <w:rFonts w:ascii="Arial" w:eastAsia="Arial" w:hAnsi="Arial"/>
          <w:color w:val="5A5A5A"/>
          <w:sz w:val="18"/>
          <w:szCs w:val="18"/>
        </w:rPr>
        <w:t>ALCOA</w:t>
      </w:r>
      <w:r>
        <w:rPr>
          <w:rFonts w:ascii="Arial" w:eastAsia="Arial" w:hAnsi="Arial"/>
          <w:color w:val="5A5A5A"/>
          <w:sz w:val="18"/>
          <w:szCs w:val="18"/>
          <w:rtl/>
        </w:rPr>
        <w:t xml:space="preserve"> = منسوبة، مقروءة، آنية، أصلية، دقيقة؛ و"+" تضيف: كاملة، متسقة، دائمة، متاحة. ومن الملاحظات الشائعة إتلاف "السجل الأصلي" بعد النسخ؛ فالأصل (ومنه البيانات الخام الإلكترونية ومسار تدقيقها) هو السجل الواجب حفظه لا مجرّد مطبوعة.</w:t>
      </w:r>
      <w:r>
        <w:rPr>
          <w:rFonts w:ascii="Arial" w:eastAsia="Arial" w:hAnsi="Arial"/>
          <w:b/>
          <w:bCs/>
          <w:color w:val="5A5A5A"/>
          <w:sz w:val="18"/>
          <w:szCs w:val="18"/>
          <w:rtl/>
        </w:rPr>
        <w:t xml:space="preserve">  ملاحظة.</w:t>
      </w:r>
    </w:p>
    <w:p w14:paraId="288B6E18" w14:textId="77777777" w:rsidR="00CD5946" w:rsidRDefault="00000000">
      <w:pPr>
        <w:pStyle w:val="Heading2"/>
        <w:spacing w:before="220"/>
      </w:pPr>
      <w:bookmarkStart w:id="238" w:name="__RefHeading___Toc9633_1729075678"/>
      <w:bookmarkEnd w:id="238"/>
      <w:r>
        <w:t>2.  Glossary (Annex A-DI)</w:t>
      </w:r>
      <w:r>
        <w:rPr>
          <w:b w:val="0"/>
          <w:bCs w:val="0"/>
          <w:color w:val="1A1A1A"/>
          <w:sz w:val="21"/>
          <w:szCs w:val="21"/>
        </w:rPr>
        <w:t xml:space="preserve">   </w:t>
      </w:r>
      <w:r>
        <w:rPr>
          <w:color w:val="C8A24B"/>
          <w:sz w:val="20"/>
          <w:szCs w:val="20"/>
          <w:rtl/>
        </w:rPr>
        <w:t>مسرد</w:t>
      </w:r>
      <w:r>
        <w:rPr>
          <w:color w:val="C8A24B"/>
          <w:sz w:val="20"/>
          <w:szCs w:val="20"/>
        </w:rPr>
        <w:t xml:space="preserve"> A-DI</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700"/>
        <w:gridCol w:w="6660"/>
      </w:tblGrid>
      <w:tr w:rsidR="00CD5946" w14:paraId="122A4F76" w14:textId="77777777">
        <w:trPr>
          <w:tblHeader/>
        </w:trPr>
        <w:tc>
          <w:tcPr>
            <w:tcW w:w="2700" w:type="dxa"/>
            <w:tcBorders>
              <w:top w:val="single" w:sz="2" w:space="0" w:color="BFC9C0"/>
              <w:left w:val="single" w:sz="2" w:space="0" w:color="BFC9C0"/>
              <w:bottom w:val="single" w:sz="2" w:space="0" w:color="BFC9C0"/>
              <w:right w:val="single" w:sz="2" w:space="0" w:color="BFC9C0"/>
            </w:tcBorders>
            <w:shd w:val="clear" w:color="auto" w:fill="0E5A50"/>
          </w:tcPr>
          <w:p w14:paraId="080B5E12" w14:textId="77777777" w:rsidR="00CD5946" w:rsidRDefault="00000000">
            <w:pPr>
              <w:spacing w:after="0"/>
            </w:pPr>
            <w:r>
              <w:rPr>
                <w:rFonts w:ascii="Arial" w:eastAsia="Arial" w:hAnsi="Arial"/>
                <w:b/>
                <w:bCs/>
                <w:color w:val="FFFFFF"/>
                <w:sz w:val="18"/>
                <w:szCs w:val="18"/>
              </w:rPr>
              <w:t xml:space="preserve">Term / </w:t>
            </w:r>
            <w:r>
              <w:rPr>
                <w:rFonts w:ascii="Arial" w:eastAsia="Arial" w:hAnsi="Arial"/>
                <w:b/>
                <w:bCs/>
                <w:color w:val="FFFFFF"/>
                <w:sz w:val="18"/>
                <w:szCs w:val="18"/>
                <w:rtl/>
              </w:rPr>
              <w:t>المصطلح</w:t>
            </w:r>
          </w:p>
        </w:tc>
        <w:tc>
          <w:tcPr>
            <w:tcW w:w="6660" w:type="dxa"/>
            <w:tcBorders>
              <w:top w:val="single" w:sz="2" w:space="0" w:color="BFC9C0"/>
              <w:left w:val="single" w:sz="2" w:space="0" w:color="BFC9C0"/>
              <w:bottom w:val="single" w:sz="2" w:space="0" w:color="BFC9C0"/>
              <w:right w:val="single" w:sz="2" w:space="0" w:color="BFC9C0"/>
            </w:tcBorders>
            <w:shd w:val="clear" w:color="auto" w:fill="0E5A50"/>
          </w:tcPr>
          <w:p w14:paraId="372499BA" w14:textId="77777777" w:rsidR="00CD5946" w:rsidRDefault="00000000">
            <w:pPr>
              <w:spacing w:after="0"/>
            </w:pPr>
            <w:r>
              <w:rPr>
                <w:rFonts w:ascii="Arial" w:eastAsia="Arial" w:hAnsi="Arial"/>
                <w:b/>
                <w:bCs/>
                <w:color w:val="FFFFFF"/>
                <w:sz w:val="18"/>
                <w:szCs w:val="18"/>
              </w:rPr>
              <w:t xml:space="preserve">Definition / </w:t>
            </w:r>
            <w:r>
              <w:rPr>
                <w:rFonts w:ascii="Arial" w:eastAsia="Arial" w:hAnsi="Arial"/>
                <w:b/>
                <w:bCs/>
                <w:color w:val="FFFFFF"/>
                <w:sz w:val="18"/>
                <w:szCs w:val="18"/>
                <w:rtl/>
              </w:rPr>
              <w:t>التعريف</w:t>
            </w:r>
          </w:p>
        </w:tc>
      </w:tr>
      <w:tr w:rsidR="00CD5946" w14:paraId="78FA2E90"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7C372201" w14:textId="77777777" w:rsidR="00CD5946" w:rsidRDefault="00000000">
            <w:pPr>
              <w:spacing w:after="0"/>
            </w:pPr>
            <w:r>
              <w:rPr>
                <w:rFonts w:ascii="Arial" w:eastAsia="Arial" w:hAnsi="Arial"/>
                <w:b/>
                <w:bCs/>
                <w:color w:val="15512F"/>
                <w:sz w:val="18"/>
                <w:szCs w:val="18"/>
              </w:rPr>
              <w:t>Dynamic record</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6A206CC8" w14:textId="77777777" w:rsidR="00CD5946" w:rsidRDefault="00000000">
            <w:pPr>
              <w:spacing w:after="0"/>
            </w:pPr>
            <w:r>
              <w:rPr>
                <w:rFonts w:ascii="Arial" w:eastAsia="Arial" w:hAnsi="Arial"/>
                <w:color w:val="1A1A1A"/>
                <w:sz w:val="18"/>
                <w:szCs w:val="18"/>
              </w:rPr>
              <w:t xml:space="preserve">A record format that permits interaction (for example a chromatogram that can be reprocessed). / </w:t>
            </w:r>
            <w:r>
              <w:rPr>
                <w:rFonts w:ascii="Arial" w:eastAsia="Arial" w:hAnsi="Arial"/>
                <w:color w:val="1A1A1A"/>
                <w:sz w:val="18"/>
                <w:szCs w:val="18"/>
                <w:rtl/>
              </w:rPr>
              <w:t>سجل يسمح بالتفاعل (كإعادة معالجة الكروماتوجرام)</w:t>
            </w:r>
            <w:r>
              <w:rPr>
                <w:rFonts w:ascii="Arial" w:eastAsia="Arial" w:hAnsi="Arial"/>
                <w:color w:val="1A1A1A"/>
                <w:sz w:val="18"/>
                <w:szCs w:val="18"/>
              </w:rPr>
              <w:t>.</w:t>
            </w:r>
          </w:p>
        </w:tc>
      </w:tr>
      <w:tr w:rsidR="00CD5946" w14:paraId="78AB929A"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30D93875" w14:textId="77777777" w:rsidR="00CD5946" w:rsidRDefault="00000000">
            <w:pPr>
              <w:spacing w:after="0"/>
            </w:pPr>
            <w:r>
              <w:rPr>
                <w:rFonts w:ascii="Arial" w:eastAsia="Arial" w:hAnsi="Arial"/>
                <w:b/>
                <w:bCs/>
                <w:color w:val="15512F"/>
                <w:sz w:val="18"/>
                <w:szCs w:val="18"/>
              </w:rPr>
              <w:t>True copy</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1857BAF2" w14:textId="77777777" w:rsidR="00CD5946" w:rsidRDefault="00000000">
            <w:pPr>
              <w:spacing w:after="0"/>
            </w:pPr>
            <w:r>
              <w:rPr>
                <w:rFonts w:ascii="Arial" w:eastAsia="Arial" w:hAnsi="Arial"/>
                <w:color w:val="1A1A1A"/>
                <w:sz w:val="18"/>
                <w:szCs w:val="18"/>
              </w:rPr>
              <w:t xml:space="preserve">A verified copy that preserves the content and meaning of the original record. / </w:t>
            </w:r>
            <w:r>
              <w:rPr>
                <w:rFonts w:ascii="Arial" w:eastAsia="Arial" w:hAnsi="Arial"/>
                <w:color w:val="1A1A1A"/>
                <w:sz w:val="18"/>
                <w:szCs w:val="18"/>
                <w:rtl/>
              </w:rPr>
              <w:t>نسخة مُتحقّقة تحفظ محتوى الأصل</w:t>
            </w:r>
            <w:r>
              <w:rPr>
                <w:rFonts w:ascii="Arial" w:eastAsia="Arial" w:hAnsi="Arial"/>
                <w:color w:val="1A1A1A"/>
                <w:sz w:val="18"/>
                <w:szCs w:val="18"/>
              </w:rPr>
              <w:t>.</w:t>
            </w:r>
          </w:p>
        </w:tc>
      </w:tr>
      <w:tr w:rsidR="00CD5946" w14:paraId="37F6735D"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69242317" w14:textId="77777777" w:rsidR="00CD5946" w:rsidRDefault="00000000">
            <w:pPr>
              <w:spacing w:after="0"/>
            </w:pPr>
            <w:r>
              <w:rPr>
                <w:rFonts w:ascii="Arial" w:eastAsia="Arial" w:hAnsi="Arial"/>
                <w:b/>
                <w:bCs/>
                <w:color w:val="15512F"/>
                <w:sz w:val="18"/>
                <w:szCs w:val="18"/>
              </w:rPr>
              <w:t>Data lifecycle</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2A632105" w14:textId="77777777" w:rsidR="00CD5946" w:rsidRDefault="00000000">
            <w:pPr>
              <w:spacing w:after="0"/>
            </w:pPr>
            <w:r>
              <w:rPr>
                <w:rFonts w:ascii="Arial" w:eastAsia="Arial" w:hAnsi="Arial"/>
                <w:color w:val="1A1A1A"/>
                <w:sz w:val="18"/>
                <w:szCs w:val="18"/>
              </w:rPr>
              <w:t xml:space="preserve">All phases from generation and recording through processing, use, retention, archival and destruction. / </w:t>
            </w:r>
            <w:r>
              <w:rPr>
                <w:rFonts w:ascii="Arial" w:eastAsia="Arial" w:hAnsi="Arial"/>
                <w:color w:val="1A1A1A"/>
                <w:sz w:val="18"/>
                <w:szCs w:val="18"/>
                <w:rtl/>
              </w:rPr>
              <w:t>كل مراحل البيانات من الإنشاء إلى الإتلاف</w:t>
            </w:r>
            <w:r>
              <w:rPr>
                <w:rFonts w:ascii="Arial" w:eastAsia="Arial" w:hAnsi="Arial"/>
                <w:color w:val="1A1A1A"/>
                <w:sz w:val="18"/>
                <w:szCs w:val="18"/>
              </w:rPr>
              <w:t>.</w:t>
            </w:r>
          </w:p>
        </w:tc>
      </w:tr>
    </w:tbl>
    <w:p w14:paraId="04B4999F" w14:textId="77777777" w:rsidR="00CD5946" w:rsidRDefault="00000000">
      <w:pPr>
        <w:spacing w:before="260" w:after="0"/>
        <w:jc w:val="center"/>
      </w:pPr>
      <w:r>
        <w:rPr>
          <w:noProof/>
        </w:rPr>
        <w:drawing>
          <wp:inline distT="0" distB="0" distL="0" distR="0" wp14:anchorId="3215CB0C" wp14:editId="091B522C">
            <wp:extent cx="876300" cy="1238250"/>
            <wp:effectExtent l="0" t="0" r="0" b="0"/>
            <wp:docPr id="20" name="Image19"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9"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1F760C48" w14:textId="77777777" w:rsidR="00CD5946" w:rsidRDefault="00000000">
      <w:pPr>
        <w:spacing w:before="50" w:after="0"/>
        <w:jc w:val="center"/>
      </w:pPr>
      <w:r>
        <w:rPr>
          <w:rFonts w:ascii="Arial" w:eastAsia="Arial" w:hAnsi="Arial"/>
          <w:b/>
          <w:bCs/>
          <w:color w:val="15512F"/>
          <w:sz w:val="19"/>
          <w:szCs w:val="19"/>
        </w:rPr>
        <w:t>AUPAM EXPERTS' OFFICE</w:t>
      </w:r>
    </w:p>
    <w:p w14:paraId="0EC1DD62"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3E56A70F" w14:textId="77777777" w:rsidR="00CD5946" w:rsidRDefault="00000000">
      <w:pPr>
        <w:spacing w:before="10" w:after="0"/>
        <w:jc w:val="center"/>
      </w:pPr>
      <w:r>
        <w:rPr>
          <w:rFonts w:ascii="Arial" w:eastAsia="Arial" w:hAnsi="Arial"/>
          <w:b/>
          <w:bCs/>
          <w:color w:val="B08C37"/>
          <w:sz w:val="24"/>
          <w:szCs w:val="24"/>
        </w:rPr>
        <w:t>2026 EDITION</w:t>
      </w:r>
    </w:p>
    <w:p w14:paraId="1D53B59B" w14:textId="77777777" w:rsidR="00CD5946" w:rsidRDefault="00000000">
      <w:pPr>
        <w:spacing w:before="260" w:after="0"/>
        <w:jc w:val="center"/>
      </w:pPr>
      <w:r>
        <w:rPr>
          <w:rFonts w:ascii="Arial" w:eastAsia="Arial" w:hAnsi="Arial"/>
          <w:b/>
          <w:bCs/>
          <w:color w:val="15512F"/>
          <w:sz w:val="54"/>
          <w:szCs w:val="54"/>
        </w:rPr>
        <w:t>ANNEX A-CCS</w:t>
      </w:r>
    </w:p>
    <w:p w14:paraId="2F6AB5E7" w14:textId="77777777" w:rsidR="00CD5946" w:rsidRDefault="00000000">
      <w:pPr>
        <w:spacing w:before="40" w:after="0"/>
        <w:jc w:val="center"/>
      </w:pPr>
      <w:r>
        <w:rPr>
          <w:rFonts w:ascii="Arial" w:eastAsia="Arial" w:hAnsi="Arial"/>
          <w:b/>
          <w:bCs/>
          <w:color w:val="1A1A1A"/>
          <w:sz w:val="28"/>
          <w:szCs w:val="28"/>
        </w:rPr>
        <w:t>Contamination Control Strategy</w:t>
      </w:r>
    </w:p>
    <w:p w14:paraId="2BD13A68" w14:textId="77777777" w:rsidR="00CD5946" w:rsidRDefault="00000000">
      <w:pPr>
        <w:spacing w:before="16" w:after="0"/>
        <w:jc w:val="center"/>
      </w:pPr>
      <w:r>
        <w:rPr>
          <w:rFonts w:ascii="Arial" w:eastAsia="Arial" w:hAnsi="Arial"/>
          <w:color w:val="5A5A5A"/>
          <w:sz w:val="22"/>
          <w:szCs w:val="22"/>
        </w:rPr>
        <w:t>Holistic risk-based linked controls · EN | AR</w:t>
      </w:r>
    </w:p>
    <w:p w14:paraId="14BA794E" w14:textId="77777777" w:rsidR="00CD5946" w:rsidRDefault="00000000">
      <w:pPr>
        <w:spacing w:before="26" w:after="0"/>
        <w:jc w:val="center"/>
      </w:pPr>
      <w:r>
        <w:rPr>
          <w:rFonts w:ascii="Arial" w:eastAsia="Arial" w:hAnsi="Arial"/>
          <w:b/>
          <w:bCs/>
          <w:color w:val="15512F"/>
          <w:sz w:val="22"/>
          <w:szCs w:val="22"/>
          <w:rtl/>
        </w:rPr>
        <w:t>الملحق</w:t>
      </w:r>
      <w:r>
        <w:rPr>
          <w:rFonts w:ascii="Arial" w:eastAsia="Arial" w:hAnsi="Arial"/>
          <w:b/>
          <w:bCs/>
          <w:color w:val="15512F"/>
          <w:sz w:val="22"/>
          <w:szCs w:val="22"/>
        </w:rPr>
        <w:t xml:space="preserve"> A-CCS — </w:t>
      </w:r>
      <w:r>
        <w:rPr>
          <w:rFonts w:ascii="Arial" w:eastAsia="Arial" w:hAnsi="Arial"/>
          <w:b/>
          <w:bCs/>
          <w:color w:val="15512F"/>
          <w:sz w:val="22"/>
          <w:szCs w:val="22"/>
          <w:rtl/>
        </w:rPr>
        <w:t>استراتيجية ضبط التلوث</w:t>
      </w:r>
    </w:p>
    <w:p w14:paraId="50CC70CA"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4E0FCBD9" w14:textId="77777777" w:rsidR="00CD5946" w:rsidRDefault="00000000">
      <w:r>
        <w:br w:type="page"/>
      </w:r>
    </w:p>
    <w:p w14:paraId="4F0C3533" w14:textId="77777777" w:rsidR="00CD5946" w:rsidRDefault="00000000">
      <w:pPr>
        <w:pStyle w:val="Heading1"/>
        <w:spacing w:before="0"/>
      </w:pPr>
      <w:bookmarkStart w:id="239" w:name="__RefHeading___Toc9635_1729075678"/>
      <w:bookmarkEnd w:id="239"/>
      <w:r>
        <w:lastRenderedPageBreak/>
        <w:t>Contents</w:t>
      </w:r>
    </w:p>
    <w:sdt>
      <w:sdtPr>
        <w:id w:val="674307831"/>
        <w:docPartObj>
          <w:docPartGallery w:val="Table of Contents"/>
          <w:docPartUnique/>
        </w:docPartObj>
      </w:sdtPr>
      <w:sdtContent>
        <w:p w14:paraId="2261B88D"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19F1B697"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68F68FA0"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55F0E5FC"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15B3CDDD"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2DED5E8B"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0650CA60"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64706A1D"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47A3BEF0"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6FE0E64F"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21F05ED6"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1D72EE38"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5D298FD7"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1E801F79"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34441BCE"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33EB862D"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6D874C1B"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7A7F86E4"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0966C601"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46C6BA80"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50EDABCC"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48E48F25"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035456B6"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558F368B"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722C55B3"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29E0B7C1"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2CF6272E"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7A49CECC"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7C8F660F"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244B5AB1"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79E2FAE9"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13C0A8D8"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611A2508"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430B9772"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2EBDCDB3"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42892B56"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23505DE2"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5D2E6032"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572D47BD"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7F25F4E0"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6E301FB2"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473CE647"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065AF9F4"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6B33B60B"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39DBAAE0"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3B3715FD"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4B5350BE"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564D6DF3"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737FF6D0"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0F2C8D37"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3B323000"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0F68529C"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3035DFA6"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1DD1A6E4"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0EFC4C87"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00108667"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1500C91B"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5A2FC050"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74F1AAB3"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762E8365"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7173A8F5"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7D25B52A"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2AA3F755"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6F544115"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0E51AE3B"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6E95BA9D"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0125072F"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04914A27"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54D676DC"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429AC034"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45CC6328"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4D04CE52"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4C6C02FE"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66BBB6FE" w14:textId="77777777" w:rsidR="00CD5946" w:rsidRDefault="00CD5946"/>
    <w:p w14:paraId="4A681D9E" w14:textId="77777777" w:rsidR="00CD5946" w:rsidRDefault="00000000">
      <w:pPr>
        <w:pStyle w:val="Heading1"/>
      </w:pPr>
      <w:bookmarkStart w:id="240" w:name="__RefHeading___Toc9637_1729075678"/>
      <w:bookmarkEnd w:id="240"/>
      <w:r>
        <w:t xml:space="preserve">Arab Annex A-CCS — Contamination Control Strategy  ·  </w:t>
      </w:r>
      <w:r>
        <w:rPr>
          <w:rtl/>
        </w:rPr>
        <w:t>الملحق العربي</w:t>
      </w:r>
      <w:r>
        <w:t xml:space="preserve"> A-CCS — </w:t>
      </w:r>
      <w:r>
        <w:rPr>
          <w:rtl/>
        </w:rPr>
        <w:t>استراتيجية ضبط التلوث</w:t>
      </w:r>
    </w:p>
    <w:p w14:paraId="17450D18" w14:textId="77777777" w:rsidR="00CD5946" w:rsidRDefault="00000000">
      <w:pPr>
        <w:spacing w:before="10" w:after="150"/>
      </w:pPr>
      <w:r>
        <w:rPr>
          <w:rFonts w:ascii="Arial" w:eastAsia="Arial" w:hAnsi="Arial"/>
          <w:b/>
          <w:bCs/>
          <w:color w:val="C8A24B"/>
          <w:sz w:val="17"/>
          <w:szCs w:val="17"/>
        </w:rPr>
        <w:t xml:space="preserve">Harmonised with: </w:t>
      </w:r>
      <w:r>
        <w:rPr>
          <w:rFonts w:ascii="Arial" w:eastAsia="Arial" w:hAnsi="Arial"/>
          <w:i/>
          <w:iCs/>
          <w:color w:val="5A5A5A"/>
          <w:sz w:val="17"/>
          <w:szCs w:val="17"/>
        </w:rPr>
        <w:t>EU GMP Annex 1 (2022) · ICH Q9(R1) · PIC/S PE 009-17 · WHO TRS 1044 Annex 2 · SFDA v4.4 · read together with Annex 1 and Part I Chapters 3 &amp; 5</w:t>
      </w:r>
    </w:p>
    <w:p w14:paraId="4F140B43" w14:textId="77777777" w:rsidR="00CD5946" w:rsidRDefault="00000000">
      <w:pPr>
        <w:pBdr>
          <w:left w:val="single" w:sz="16" w:space="8" w:color="C8A24B"/>
        </w:pBdr>
        <w:spacing w:after="40"/>
        <w:ind w:left="160"/>
      </w:pPr>
      <w:r>
        <w:rPr>
          <w:rFonts w:ascii="Arial" w:eastAsia="Arial" w:hAnsi="Arial"/>
          <w:b/>
          <w:bCs/>
          <w:color w:val="C8A24B"/>
        </w:rPr>
        <w:t xml:space="preserve">Principle.  </w:t>
      </w:r>
      <w:r>
        <w:rPr>
          <w:rFonts w:ascii="Arial" w:eastAsia="Arial" w:hAnsi="Arial"/>
          <w:color w:val="1A1A1A"/>
        </w:rPr>
        <w:t>A Contamination Control Strategy (CCS) is a planned set of controls for microorganisms, endotoxin/pyrogen and particulate matter, derived from current product and process understanding, that assures process performance and product quality. While the CCS is a defined requirement for sterile manufacture (Annex 1), its principles — a holistic, risk-based, documented and regularly-reviewed set of linked controls — are valuable across all manufacture where contamination must be controlled. This Annex sets out a harmonised framework for establishing, documenting and maintaining a CCS.</w:t>
      </w:r>
    </w:p>
    <w:p w14:paraId="4F00F65C" w14:textId="77777777" w:rsidR="00CD5946" w:rsidRDefault="00000000">
      <w:pPr>
        <w:bidi/>
        <w:spacing w:after="150"/>
        <w:ind w:right="160"/>
        <w:jc w:val="right"/>
      </w:pPr>
      <w:r>
        <w:rPr>
          <w:rFonts w:ascii="Arial" w:eastAsia="Arial" w:hAnsi="Arial"/>
          <w:b/>
          <w:bCs/>
          <w:color w:val="C8A24B"/>
          <w:sz w:val="20"/>
          <w:szCs w:val="20"/>
          <w:rtl/>
        </w:rPr>
        <w:t xml:space="preserve">المبدأ. </w:t>
      </w:r>
      <w:r>
        <w:rPr>
          <w:rFonts w:ascii="Arial" w:eastAsia="Arial" w:hAnsi="Arial"/>
          <w:color w:val="333333"/>
          <w:sz w:val="20"/>
          <w:szCs w:val="20"/>
          <w:rtl/>
        </w:rPr>
        <w:t>استراتيجية ضبط التلوث (</w:t>
      </w:r>
      <w:r>
        <w:rPr>
          <w:rFonts w:ascii="Arial" w:eastAsia="Arial" w:hAnsi="Arial"/>
          <w:color w:val="333333"/>
          <w:sz w:val="20"/>
          <w:szCs w:val="20"/>
        </w:rPr>
        <w:t>CCS</w:t>
      </w:r>
      <w:r>
        <w:rPr>
          <w:rFonts w:ascii="Arial" w:eastAsia="Arial" w:hAnsi="Arial"/>
          <w:color w:val="333333"/>
          <w:sz w:val="20"/>
          <w:szCs w:val="20"/>
          <w:rtl/>
        </w:rPr>
        <w:t>) مجموعة مخطّطة من الضوابط للكائنات الدقيقة والذيفان والجسيمات، مستمدّة من فهم المنتج والعملية، تضمن الأداء والجودة. ومع أنّها متطلّب للتصنيع المعقّم (الملحق ⁦</w:t>
      </w:r>
      <w:r>
        <w:rPr>
          <w:rFonts w:ascii="Arial" w:eastAsia="Arial" w:hAnsi="Arial"/>
          <w:color w:val="333333"/>
          <w:sz w:val="20"/>
          <w:szCs w:val="20"/>
        </w:rPr>
        <w:t>1</w:t>
      </w:r>
      <w:r>
        <w:rPr>
          <w:rFonts w:ascii="Arial" w:eastAsia="Arial" w:hAnsi="Arial"/>
          <w:color w:val="333333"/>
          <w:sz w:val="20"/>
          <w:szCs w:val="20"/>
          <w:rtl/>
        </w:rPr>
        <w:t>⁩)، فإنّ مبادئها قيّمة في كل تصنيع يلزم فيه ضبط التلوث. ويضع هذا الملحق إطاراً موحّداً لإنشائها وتوثيقها وصيانتها.</w:t>
      </w:r>
    </w:p>
    <w:p w14:paraId="72F80C46" w14:textId="77777777" w:rsidR="00CD5946" w:rsidRDefault="00000000">
      <w:pPr>
        <w:pBdr>
          <w:left w:val="single" w:sz="10" w:space="8" w:color="CFCFCF"/>
        </w:pBdr>
        <w:spacing w:before="60" w:after="30"/>
        <w:ind w:left="160"/>
      </w:pPr>
      <w:r>
        <w:rPr>
          <w:rFonts w:ascii="Arial" w:eastAsia="Arial" w:hAnsi="Arial"/>
          <w:b/>
          <w:bCs/>
          <w:color w:val="15512F"/>
          <w:sz w:val="20"/>
          <w:szCs w:val="20"/>
        </w:rPr>
        <w:t xml:space="preserve">Scope.  </w:t>
      </w:r>
      <w:r>
        <w:rPr>
          <w:rFonts w:ascii="Arial" w:eastAsia="Arial" w:hAnsi="Arial"/>
          <w:color w:val="1A1A1A"/>
          <w:sz w:val="20"/>
          <w:szCs w:val="20"/>
        </w:rPr>
        <w:t>This Annex provides a framework for the CCS referenced throughout the guideline. For sterile products the CCS is mandatory per Annex 1; for other products its application is risk-based.</w:t>
      </w:r>
    </w:p>
    <w:p w14:paraId="30FBC601" w14:textId="77777777" w:rsidR="00CD5946" w:rsidRDefault="00000000">
      <w:pPr>
        <w:bidi/>
        <w:spacing w:after="150"/>
        <w:ind w:right="160"/>
        <w:jc w:val="right"/>
      </w:pPr>
      <w:r>
        <w:rPr>
          <w:rFonts w:ascii="Arial" w:eastAsia="Arial" w:hAnsi="Arial"/>
          <w:b/>
          <w:bCs/>
          <w:color w:val="15512F"/>
          <w:sz w:val="20"/>
          <w:szCs w:val="20"/>
          <w:rtl/>
        </w:rPr>
        <w:t xml:space="preserve">النطاق. </w:t>
      </w:r>
      <w:r>
        <w:rPr>
          <w:rFonts w:ascii="Arial" w:eastAsia="Arial" w:hAnsi="Arial"/>
          <w:color w:val="333333"/>
          <w:sz w:val="20"/>
          <w:szCs w:val="20"/>
          <w:rtl/>
        </w:rPr>
        <w:t xml:space="preserve">يوفّر إطاراً لـ </w:t>
      </w:r>
      <w:r>
        <w:rPr>
          <w:rFonts w:ascii="Arial" w:eastAsia="Arial" w:hAnsi="Arial"/>
          <w:color w:val="333333"/>
          <w:sz w:val="20"/>
          <w:szCs w:val="20"/>
        </w:rPr>
        <w:t>CCS</w:t>
      </w:r>
      <w:r>
        <w:rPr>
          <w:rFonts w:ascii="Arial" w:eastAsia="Arial" w:hAnsi="Arial"/>
          <w:color w:val="333333"/>
          <w:sz w:val="20"/>
          <w:szCs w:val="20"/>
          <w:rtl/>
        </w:rPr>
        <w:t xml:space="preserve"> المُشار إليها في الدليل. وهي إلزامية للمعقّم (الملحق ⁦</w:t>
      </w:r>
      <w:r>
        <w:rPr>
          <w:rFonts w:ascii="Arial" w:eastAsia="Arial" w:hAnsi="Arial"/>
          <w:color w:val="333333"/>
          <w:sz w:val="20"/>
          <w:szCs w:val="20"/>
        </w:rPr>
        <w:t>1</w:t>
      </w:r>
      <w:r>
        <w:rPr>
          <w:rFonts w:ascii="Arial" w:eastAsia="Arial" w:hAnsi="Arial"/>
          <w:color w:val="333333"/>
          <w:sz w:val="20"/>
          <w:szCs w:val="20"/>
          <w:rtl/>
        </w:rPr>
        <w:t>⁩)، وقائمة على المخاطر لغيره.</w:t>
      </w:r>
    </w:p>
    <w:p w14:paraId="45E7CF7B" w14:textId="77777777" w:rsidR="00CD5946" w:rsidRDefault="00000000">
      <w:pPr>
        <w:pStyle w:val="Heading2"/>
        <w:spacing w:before="220"/>
      </w:pPr>
      <w:bookmarkStart w:id="241" w:name="__RefHeading___Toc9639_1729075678"/>
      <w:bookmarkEnd w:id="241"/>
      <w:r>
        <w:t>1.  Elements of the CCS</w:t>
      </w:r>
      <w:r>
        <w:rPr>
          <w:b w:val="0"/>
          <w:bCs w:val="0"/>
          <w:color w:val="1A1A1A"/>
          <w:sz w:val="21"/>
          <w:szCs w:val="21"/>
        </w:rPr>
        <w:t xml:space="preserve">   </w:t>
      </w:r>
      <w:r>
        <w:rPr>
          <w:color w:val="C8A24B"/>
          <w:sz w:val="20"/>
          <w:szCs w:val="20"/>
          <w:rtl/>
        </w:rPr>
        <w:t>عناصر الاستراتيجية</w:t>
      </w:r>
    </w:p>
    <w:p w14:paraId="690F8795" w14:textId="77777777" w:rsidR="00CD5946" w:rsidRDefault="00000000">
      <w:pPr>
        <w:spacing w:after="40" w:line="266" w:lineRule="auto"/>
        <w:ind w:left="300" w:hanging="300"/>
      </w:pPr>
      <w:r>
        <w:rPr>
          <w:rFonts w:ascii="Arial" w:eastAsia="Arial" w:hAnsi="Arial"/>
          <w:b/>
          <w:bCs/>
          <w:color w:val="15512F"/>
        </w:rPr>
        <w:t xml:space="preserve">CCS.1  </w:t>
      </w:r>
      <w:r>
        <w:rPr>
          <w:rFonts w:ascii="Arial" w:eastAsia="Arial" w:hAnsi="Arial"/>
          <w:color w:val="1A1A1A"/>
        </w:rPr>
        <w:t>The CCS shall identify, map and link the controls across at least: facility and process design; premises and equipment; utilities; personnel; raw materials and components; vendor and outsourced-service approval; process risk management and validation; preventive maintenance; cleaning and disinfection; monitoring systems; container-closure integrity; sterilisation of components and consumables (including outsourced sterilisation); the trending, root-cause-analysis and CAPA loop; and the mechanisms for periodic review and continual improvement. For each element the strategy shall state the hazard, the control, and how its effectiveness is verified.</w:t>
      </w:r>
    </w:p>
    <w:p w14:paraId="13D16088" w14:textId="77777777" w:rsidR="00CD5946" w:rsidRDefault="00000000">
      <w:pPr>
        <w:bidi/>
        <w:spacing w:after="150" w:line="300" w:lineRule="auto"/>
        <w:ind w:right="300" w:hanging="300"/>
        <w:jc w:val="right"/>
      </w:pPr>
      <w:r>
        <w:rPr>
          <w:rFonts w:ascii="Arial" w:eastAsia="Arial" w:hAnsi="Arial"/>
          <w:color w:val="333333"/>
          <w:sz w:val="20"/>
          <w:szCs w:val="20"/>
          <w:rtl/>
        </w:rPr>
        <w:lastRenderedPageBreak/>
        <w:t>تُحدّد الاستراتيجية وتربط الضوابط عبر: تصميم المرفق والعملية؛ والمباني والمعدّات؛ والمرافق؛ والأفراد؛ والمواد والمكوّنات؛ واعتماد المورّدين؛ وإدارة المخاطر والتحقّق؛ والصيانة؛ والتنظيف والتطهير؛ والمراقبة؛ والمراجعة والتحسين. ولكل عنصر تُذكَر الخطورة والضابط وكيفية التحقّق من فعّاليته.</w:t>
      </w:r>
      <w:r>
        <w:rPr>
          <w:rFonts w:ascii="Arial" w:eastAsia="Arial" w:hAnsi="Arial"/>
          <w:b/>
          <w:bCs/>
          <w:color w:val="15512F"/>
          <w:sz w:val="20"/>
          <w:szCs w:val="20"/>
          <w:rtl/>
        </w:rPr>
        <w:t xml:space="preserve">  </w:t>
      </w:r>
      <w:r>
        <w:rPr>
          <w:rFonts w:ascii="Arial" w:eastAsia="Arial" w:hAnsi="Arial"/>
          <w:b/>
          <w:bCs/>
          <w:color w:val="15512F"/>
          <w:sz w:val="20"/>
          <w:szCs w:val="20"/>
        </w:rPr>
        <w:t>CCS</w:t>
      </w:r>
      <w:r>
        <w:rPr>
          <w:rFonts w:ascii="Arial" w:eastAsia="Arial" w:hAnsi="Arial"/>
          <w:b/>
          <w:bCs/>
          <w:color w:val="15512F"/>
          <w:sz w:val="20"/>
          <w:szCs w:val="20"/>
          <w:rtl/>
        </w:rPr>
        <w:t>.⁦</w:t>
      </w:r>
      <w:r>
        <w:rPr>
          <w:rFonts w:ascii="Arial" w:eastAsia="Arial" w:hAnsi="Arial"/>
          <w:b/>
          <w:bCs/>
          <w:color w:val="15512F"/>
          <w:sz w:val="20"/>
          <w:szCs w:val="20"/>
        </w:rPr>
        <w:t>1</w:t>
      </w:r>
      <w:r>
        <w:rPr>
          <w:rFonts w:ascii="Arial" w:eastAsia="Arial" w:hAnsi="Arial"/>
          <w:b/>
          <w:bCs/>
          <w:color w:val="15512F"/>
          <w:sz w:val="20"/>
          <w:szCs w:val="20"/>
          <w:rtl/>
        </w:rPr>
        <w:t>⁩</w:t>
      </w:r>
    </w:p>
    <w:p w14:paraId="62710F7B" w14:textId="77777777" w:rsidR="00CD5946" w:rsidRDefault="00000000">
      <w:pPr>
        <w:pBdr>
          <w:left w:val="single" w:sz="6" w:space="8" w:color="CFCFCF"/>
        </w:pBd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A common deficiency is a CCS that lists controls without demonstrating that they are linked and collectively effective. The strength of a CCS lies in the connections — showing how each control supports the others and how the whole assures the patient — and in evidence that it is living: reviewed against monitoring trends and updated on change.</w:t>
      </w:r>
    </w:p>
    <w:p w14:paraId="266BC5DD" w14:textId="77777777" w:rsidR="00CD5946" w:rsidRDefault="00000000">
      <w:pPr>
        <w:bidi/>
        <w:spacing w:after="140"/>
        <w:ind w:right="300"/>
        <w:jc w:val="right"/>
      </w:pPr>
      <w:r>
        <w:rPr>
          <w:rFonts w:ascii="Arial" w:eastAsia="Arial" w:hAnsi="Arial"/>
          <w:color w:val="5A5A5A"/>
          <w:sz w:val="18"/>
          <w:szCs w:val="18"/>
          <w:rtl/>
        </w:rPr>
        <w:t xml:space="preserve">من القصور الشائع استراتيجية تسرد الضوابط دون إثبات ترابطها وفعّاليتها المجمّعة. فقوّة </w:t>
      </w:r>
      <w:r>
        <w:rPr>
          <w:rFonts w:ascii="Arial" w:eastAsia="Arial" w:hAnsi="Arial"/>
          <w:color w:val="5A5A5A"/>
          <w:sz w:val="18"/>
          <w:szCs w:val="18"/>
        </w:rPr>
        <w:t>CCS</w:t>
      </w:r>
      <w:r>
        <w:rPr>
          <w:rFonts w:ascii="Arial" w:eastAsia="Arial" w:hAnsi="Arial"/>
          <w:color w:val="5A5A5A"/>
          <w:sz w:val="18"/>
          <w:szCs w:val="18"/>
          <w:rtl/>
        </w:rPr>
        <w:t xml:space="preserve"> في الروابط وفي كونها حيّة تُراجَع وتُحدّث.</w:t>
      </w:r>
      <w:r>
        <w:rPr>
          <w:rFonts w:ascii="Arial" w:eastAsia="Arial" w:hAnsi="Arial"/>
          <w:b/>
          <w:bCs/>
          <w:color w:val="5A5A5A"/>
          <w:sz w:val="18"/>
          <w:szCs w:val="18"/>
          <w:rtl/>
        </w:rPr>
        <w:t xml:space="preserve">  ملاحظة.</w:t>
      </w:r>
    </w:p>
    <w:p w14:paraId="0F928382" w14:textId="77777777" w:rsidR="00CD5946" w:rsidRDefault="00000000">
      <w:pPr>
        <w:pStyle w:val="Heading2"/>
        <w:spacing w:before="220"/>
      </w:pPr>
      <w:bookmarkStart w:id="242" w:name="__RefHeading___Toc9641_1729075678"/>
      <w:bookmarkEnd w:id="242"/>
      <w:r>
        <w:t>2.  Glossary (Annex A-CCS)</w:t>
      </w:r>
      <w:r>
        <w:rPr>
          <w:b w:val="0"/>
          <w:bCs w:val="0"/>
          <w:color w:val="1A1A1A"/>
          <w:sz w:val="21"/>
          <w:szCs w:val="21"/>
        </w:rPr>
        <w:t xml:space="preserve">   </w:t>
      </w:r>
      <w:r>
        <w:rPr>
          <w:color w:val="C8A24B"/>
          <w:sz w:val="20"/>
          <w:szCs w:val="20"/>
          <w:rtl/>
        </w:rPr>
        <w:t>مسرد</w:t>
      </w:r>
      <w:r>
        <w:rPr>
          <w:color w:val="C8A24B"/>
          <w:sz w:val="20"/>
          <w:szCs w:val="20"/>
        </w:rPr>
        <w:t xml:space="preserve"> A-CCS</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700"/>
        <w:gridCol w:w="6660"/>
      </w:tblGrid>
      <w:tr w:rsidR="00CD5946" w14:paraId="2D2F6A05" w14:textId="77777777">
        <w:trPr>
          <w:tblHeader/>
        </w:trPr>
        <w:tc>
          <w:tcPr>
            <w:tcW w:w="2700" w:type="dxa"/>
            <w:tcBorders>
              <w:top w:val="single" w:sz="2" w:space="0" w:color="BFC9C0"/>
              <w:left w:val="single" w:sz="2" w:space="0" w:color="BFC9C0"/>
              <w:bottom w:val="single" w:sz="2" w:space="0" w:color="BFC9C0"/>
              <w:right w:val="single" w:sz="2" w:space="0" w:color="BFC9C0"/>
            </w:tcBorders>
            <w:shd w:val="clear" w:color="auto" w:fill="0E5A50"/>
          </w:tcPr>
          <w:p w14:paraId="02CBCC00" w14:textId="77777777" w:rsidR="00CD5946" w:rsidRDefault="00000000">
            <w:pPr>
              <w:spacing w:after="0"/>
            </w:pPr>
            <w:r>
              <w:rPr>
                <w:rFonts w:ascii="Arial" w:eastAsia="Arial" w:hAnsi="Arial"/>
                <w:b/>
                <w:bCs/>
                <w:color w:val="FFFFFF"/>
                <w:sz w:val="18"/>
                <w:szCs w:val="18"/>
              </w:rPr>
              <w:t xml:space="preserve">Term / </w:t>
            </w:r>
            <w:r>
              <w:rPr>
                <w:rFonts w:ascii="Arial" w:eastAsia="Arial" w:hAnsi="Arial"/>
                <w:b/>
                <w:bCs/>
                <w:color w:val="FFFFFF"/>
                <w:sz w:val="18"/>
                <w:szCs w:val="18"/>
                <w:rtl/>
              </w:rPr>
              <w:t>المصطلح</w:t>
            </w:r>
          </w:p>
        </w:tc>
        <w:tc>
          <w:tcPr>
            <w:tcW w:w="6660" w:type="dxa"/>
            <w:tcBorders>
              <w:top w:val="single" w:sz="2" w:space="0" w:color="BFC9C0"/>
              <w:left w:val="single" w:sz="2" w:space="0" w:color="BFC9C0"/>
              <w:bottom w:val="single" w:sz="2" w:space="0" w:color="BFC9C0"/>
              <w:right w:val="single" w:sz="2" w:space="0" w:color="BFC9C0"/>
            </w:tcBorders>
            <w:shd w:val="clear" w:color="auto" w:fill="0E5A50"/>
          </w:tcPr>
          <w:p w14:paraId="5F5DD133" w14:textId="77777777" w:rsidR="00CD5946" w:rsidRDefault="00000000">
            <w:pPr>
              <w:spacing w:after="0"/>
            </w:pPr>
            <w:r>
              <w:rPr>
                <w:rFonts w:ascii="Arial" w:eastAsia="Arial" w:hAnsi="Arial"/>
                <w:b/>
                <w:bCs/>
                <w:color w:val="FFFFFF"/>
                <w:sz w:val="18"/>
                <w:szCs w:val="18"/>
              </w:rPr>
              <w:t xml:space="preserve">Definition / </w:t>
            </w:r>
            <w:r>
              <w:rPr>
                <w:rFonts w:ascii="Arial" w:eastAsia="Arial" w:hAnsi="Arial"/>
                <w:b/>
                <w:bCs/>
                <w:color w:val="FFFFFF"/>
                <w:sz w:val="18"/>
                <w:szCs w:val="18"/>
                <w:rtl/>
              </w:rPr>
              <w:t>التعريف</w:t>
            </w:r>
          </w:p>
        </w:tc>
      </w:tr>
      <w:tr w:rsidR="00CD5946" w14:paraId="2D891D39"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0F032028" w14:textId="77777777" w:rsidR="00CD5946" w:rsidRDefault="00000000">
            <w:pPr>
              <w:spacing w:after="0"/>
            </w:pPr>
            <w:r>
              <w:rPr>
                <w:rFonts w:ascii="Arial" w:eastAsia="Arial" w:hAnsi="Arial"/>
                <w:b/>
                <w:bCs/>
                <w:color w:val="15512F"/>
                <w:sz w:val="18"/>
                <w:szCs w:val="18"/>
              </w:rPr>
              <w:t>Critical control point</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05F545F3" w14:textId="77777777" w:rsidR="00CD5946" w:rsidRDefault="00000000">
            <w:pPr>
              <w:spacing w:after="0"/>
            </w:pPr>
            <w:r>
              <w:rPr>
                <w:rFonts w:ascii="Arial" w:eastAsia="Arial" w:hAnsi="Arial"/>
                <w:color w:val="1A1A1A"/>
                <w:sz w:val="18"/>
                <w:szCs w:val="18"/>
              </w:rPr>
              <w:t xml:space="preserve">A step at which control can be applied and is essential to prevent or reduce a contamination hazard. / </w:t>
            </w:r>
            <w:r>
              <w:rPr>
                <w:rFonts w:ascii="Arial" w:eastAsia="Arial" w:hAnsi="Arial"/>
                <w:color w:val="1A1A1A"/>
                <w:sz w:val="18"/>
                <w:szCs w:val="18"/>
                <w:rtl/>
              </w:rPr>
              <w:t>نقطة ضبط جوهرية لمنع التلوث</w:t>
            </w:r>
            <w:r>
              <w:rPr>
                <w:rFonts w:ascii="Arial" w:eastAsia="Arial" w:hAnsi="Arial"/>
                <w:color w:val="1A1A1A"/>
                <w:sz w:val="18"/>
                <w:szCs w:val="18"/>
              </w:rPr>
              <w:t>.</w:t>
            </w:r>
          </w:p>
        </w:tc>
      </w:tr>
      <w:tr w:rsidR="00CD5946" w14:paraId="77B39DEC"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0032D20D" w14:textId="77777777" w:rsidR="00CD5946" w:rsidRDefault="00000000">
            <w:pPr>
              <w:spacing w:after="0"/>
            </w:pPr>
            <w:r>
              <w:rPr>
                <w:rFonts w:ascii="Arial" w:eastAsia="Arial" w:hAnsi="Arial"/>
                <w:b/>
                <w:bCs/>
                <w:color w:val="15512F"/>
                <w:sz w:val="18"/>
                <w:szCs w:val="18"/>
              </w:rPr>
              <w:t>Pyrogen / endotoxin</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38B0F4FF" w14:textId="77777777" w:rsidR="00CD5946" w:rsidRDefault="00000000">
            <w:pPr>
              <w:spacing w:after="0"/>
            </w:pPr>
            <w:r>
              <w:rPr>
                <w:rFonts w:ascii="Arial" w:eastAsia="Arial" w:hAnsi="Arial"/>
                <w:color w:val="1A1A1A"/>
                <w:sz w:val="18"/>
                <w:szCs w:val="18"/>
              </w:rPr>
              <w:t xml:space="preserve">A fever-inducing substance; bacterial endotoxin is the principal pyrogen of concern. / </w:t>
            </w:r>
            <w:r>
              <w:rPr>
                <w:rFonts w:ascii="Arial" w:eastAsia="Arial" w:hAnsi="Arial"/>
                <w:color w:val="1A1A1A"/>
                <w:sz w:val="18"/>
                <w:szCs w:val="18"/>
                <w:rtl/>
              </w:rPr>
              <w:t>مادة مولّدة للحمّى؛ الذيفان أهمّها</w:t>
            </w:r>
            <w:r>
              <w:rPr>
                <w:rFonts w:ascii="Arial" w:eastAsia="Arial" w:hAnsi="Arial"/>
                <w:color w:val="1A1A1A"/>
                <w:sz w:val="18"/>
                <w:szCs w:val="18"/>
              </w:rPr>
              <w:t>.</w:t>
            </w:r>
          </w:p>
        </w:tc>
      </w:tr>
    </w:tbl>
    <w:p w14:paraId="40BE534E" w14:textId="77777777" w:rsidR="00CD5946" w:rsidRDefault="00000000">
      <w:pPr>
        <w:spacing w:before="260" w:after="0"/>
        <w:jc w:val="center"/>
      </w:pPr>
      <w:r>
        <w:rPr>
          <w:noProof/>
        </w:rPr>
        <w:drawing>
          <wp:inline distT="0" distB="0" distL="0" distR="0" wp14:anchorId="782C080B" wp14:editId="4C3D98B0">
            <wp:extent cx="876300" cy="1238250"/>
            <wp:effectExtent l="0" t="0" r="0" b="0"/>
            <wp:docPr id="21" name="Image20"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0"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608EB8D1" w14:textId="77777777" w:rsidR="00CD5946" w:rsidRDefault="00000000">
      <w:pPr>
        <w:spacing w:before="50" w:after="0"/>
        <w:jc w:val="center"/>
      </w:pPr>
      <w:r>
        <w:rPr>
          <w:rFonts w:ascii="Arial" w:eastAsia="Arial" w:hAnsi="Arial"/>
          <w:b/>
          <w:bCs/>
          <w:color w:val="15512F"/>
          <w:sz w:val="19"/>
          <w:szCs w:val="19"/>
        </w:rPr>
        <w:t>AUPAM EXPERTS' OFFICE</w:t>
      </w:r>
    </w:p>
    <w:p w14:paraId="5E550FD4"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004D130F" w14:textId="77777777" w:rsidR="00CD5946" w:rsidRDefault="00000000">
      <w:pPr>
        <w:spacing w:before="10" w:after="0"/>
        <w:jc w:val="center"/>
      </w:pPr>
      <w:r>
        <w:rPr>
          <w:rFonts w:ascii="Arial" w:eastAsia="Arial" w:hAnsi="Arial"/>
          <w:b/>
          <w:bCs/>
          <w:color w:val="B08C37"/>
          <w:sz w:val="24"/>
          <w:szCs w:val="24"/>
        </w:rPr>
        <w:t>2026 EDITION</w:t>
      </w:r>
    </w:p>
    <w:p w14:paraId="27E0CE2A" w14:textId="77777777" w:rsidR="00CD5946" w:rsidRDefault="00000000">
      <w:pPr>
        <w:spacing w:before="260" w:after="0"/>
        <w:jc w:val="center"/>
      </w:pPr>
      <w:r>
        <w:rPr>
          <w:rFonts w:ascii="Arial" w:eastAsia="Arial" w:hAnsi="Arial"/>
          <w:b/>
          <w:bCs/>
          <w:color w:val="15512F"/>
          <w:sz w:val="54"/>
          <w:szCs w:val="54"/>
        </w:rPr>
        <w:t>ANNEX A-WAT</w:t>
      </w:r>
    </w:p>
    <w:p w14:paraId="7651DF12" w14:textId="77777777" w:rsidR="00CD5946" w:rsidRDefault="00000000">
      <w:pPr>
        <w:spacing w:before="40" w:after="0"/>
        <w:jc w:val="center"/>
      </w:pPr>
      <w:r>
        <w:rPr>
          <w:rFonts w:ascii="Arial" w:eastAsia="Arial" w:hAnsi="Arial"/>
          <w:b/>
          <w:bCs/>
          <w:color w:val="1A1A1A"/>
          <w:sz w:val="28"/>
          <w:szCs w:val="28"/>
        </w:rPr>
        <w:t>Water for Pharmaceutical Use</w:t>
      </w:r>
    </w:p>
    <w:p w14:paraId="3DE7BE82" w14:textId="77777777" w:rsidR="00CD5946" w:rsidRDefault="00000000">
      <w:pPr>
        <w:spacing w:before="16" w:after="0"/>
        <w:jc w:val="center"/>
      </w:pPr>
      <w:r>
        <w:rPr>
          <w:rFonts w:ascii="Arial" w:eastAsia="Arial" w:hAnsi="Arial"/>
          <w:color w:val="5A5A5A"/>
          <w:sz w:val="22"/>
          <w:szCs w:val="22"/>
        </w:rPr>
        <w:t>PW · WFI · limits table · system control · EN | AR</w:t>
      </w:r>
    </w:p>
    <w:p w14:paraId="7E845C90" w14:textId="77777777" w:rsidR="00CD5946" w:rsidRDefault="00000000">
      <w:pPr>
        <w:spacing w:before="26" w:after="0"/>
        <w:jc w:val="center"/>
      </w:pPr>
      <w:r>
        <w:rPr>
          <w:rFonts w:ascii="Arial" w:eastAsia="Arial" w:hAnsi="Arial"/>
          <w:b/>
          <w:bCs/>
          <w:color w:val="15512F"/>
          <w:sz w:val="22"/>
          <w:szCs w:val="22"/>
          <w:rtl/>
        </w:rPr>
        <w:t>الملحق</w:t>
      </w:r>
      <w:r>
        <w:rPr>
          <w:rFonts w:ascii="Arial" w:eastAsia="Arial" w:hAnsi="Arial"/>
          <w:b/>
          <w:bCs/>
          <w:color w:val="15512F"/>
          <w:sz w:val="22"/>
          <w:szCs w:val="22"/>
        </w:rPr>
        <w:t xml:space="preserve"> A-WAT — </w:t>
      </w:r>
      <w:r>
        <w:rPr>
          <w:rFonts w:ascii="Arial" w:eastAsia="Arial" w:hAnsi="Arial"/>
          <w:b/>
          <w:bCs/>
          <w:color w:val="15512F"/>
          <w:sz w:val="22"/>
          <w:szCs w:val="22"/>
          <w:rtl/>
        </w:rPr>
        <w:t>الماء الصيدلاني</w:t>
      </w:r>
    </w:p>
    <w:p w14:paraId="36DFEA43"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472AE02F" w14:textId="77777777" w:rsidR="00CD5946" w:rsidRDefault="00000000">
      <w:r>
        <w:br w:type="page"/>
      </w:r>
    </w:p>
    <w:p w14:paraId="52E74EBA" w14:textId="77777777" w:rsidR="00CD5946" w:rsidRDefault="00000000">
      <w:pPr>
        <w:pStyle w:val="Heading1"/>
        <w:spacing w:before="0"/>
      </w:pPr>
      <w:bookmarkStart w:id="243" w:name="__RefHeading___Toc9643_1729075678"/>
      <w:bookmarkEnd w:id="243"/>
      <w:r>
        <w:lastRenderedPageBreak/>
        <w:t>Contents</w:t>
      </w:r>
    </w:p>
    <w:sdt>
      <w:sdtPr>
        <w:id w:val="1238673283"/>
        <w:docPartObj>
          <w:docPartGallery w:val="Table of Contents"/>
          <w:docPartUnique/>
        </w:docPartObj>
      </w:sdtPr>
      <w:sdtContent>
        <w:p w14:paraId="0EC425BE"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15E89A48"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17736EBC"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426BED13"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4172D662"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6D973754"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5D328787"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7686232D"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13006D16"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1265A2A9"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601DF3AD"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781A1C38"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1CB99186"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16107ADA"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1145C761"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3CFE80F9"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0AA694CC"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33A6FC66"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282DA7ED"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7A9004E3"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021877D9"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7FBA6B36"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2DAFFD58"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5396D3C9"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5C47B669"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462DC5AB"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6504FDB2"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0B8587EF"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1CBC8F61"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08D52E85"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75665338"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7193804E"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42AE1F01"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2CE84E25"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670AA0AE"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1DC318BE"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6098E938"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6537EC06"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2D66847D"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50F56EE0"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72AB5B71"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32DFF69D"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5504A28D"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2DDCD9EF"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0CA17015"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28558955"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74824217"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442E5FBF"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421BF1BC"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4515A0D9"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69C87FB8"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4BD89C58"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4FF2C864"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2FFE77CD"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5046B449"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437F32EE"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01D1A935"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63551A70"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52E41FC4"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14A39452"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627DD9C4"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11181517"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63EDC182"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3325943C"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43B48CE0"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008D475E"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46F79A65"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23EAE5D8"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0580438C"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24AC0E8E"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77B71601"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45D41BF3"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75410F38"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5BF1BE4B" w14:textId="77777777" w:rsidR="00CD5946" w:rsidRDefault="00CD5946"/>
    <w:p w14:paraId="641E3343" w14:textId="77777777" w:rsidR="00CD5946" w:rsidRDefault="00000000">
      <w:pPr>
        <w:pStyle w:val="Heading1"/>
      </w:pPr>
      <w:bookmarkStart w:id="244" w:name="__RefHeading___Toc9645_1729075678"/>
      <w:bookmarkEnd w:id="244"/>
      <w:r>
        <w:t xml:space="preserve">Arab Annex A-WAT — Water for Pharmaceutical Use  ·  </w:t>
      </w:r>
      <w:r>
        <w:rPr>
          <w:rtl/>
        </w:rPr>
        <w:t>الملحق العربي</w:t>
      </w:r>
      <w:r>
        <w:t xml:space="preserve"> A-WAT — </w:t>
      </w:r>
      <w:r>
        <w:rPr>
          <w:rtl/>
        </w:rPr>
        <w:t>الماء للاستخدام الصيدلاني</w:t>
      </w:r>
    </w:p>
    <w:p w14:paraId="75A18061" w14:textId="77777777" w:rsidR="00CD5946" w:rsidRDefault="00000000">
      <w:pPr>
        <w:spacing w:before="10" w:after="150"/>
      </w:pPr>
      <w:r>
        <w:rPr>
          <w:rFonts w:ascii="Arial" w:eastAsia="Arial" w:hAnsi="Arial"/>
          <w:b/>
          <w:bCs/>
          <w:color w:val="C8A24B"/>
          <w:sz w:val="17"/>
          <w:szCs w:val="17"/>
        </w:rPr>
        <w:t xml:space="preserve">Harmonised with: </w:t>
      </w:r>
      <w:r>
        <w:rPr>
          <w:rFonts w:ascii="Arial" w:eastAsia="Arial" w:hAnsi="Arial"/>
          <w:i/>
          <w:iCs/>
          <w:color w:val="5A5A5A"/>
          <w:sz w:val="17"/>
          <w:szCs w:val="17"/>
        </w:rPr>
        <w:t>EU GMP Annex 1 (2022) · WHO TRS 1033 Annex 3 (water) · Ph.Eur. / USP water monographs · ISPE Baseline Guide: Water &amp; Steam · SFDA v4.4 · ICH Q9(R1)</w:t>
      </w:r>
    </w:p>
    <w:p w14:paraId="4FC710C8" w14:textId="77777777" w:rsidR="00CD5946" w:rsidRDefault="00000000">
      <w:pPr>
        <w:pBdr>
          <w:left w:val="single" w:sz="16" w:space="8" w:color="C8A24B"/>
        </w:pBdr>
        <w:spacing w:after="40"/>
        <w:ind w:left="160"/>
      </w:pPr>
      <w:r>
        <w:rPr>
          <w:rFonts w:ascii="Arial" w:eastAsia="Arial" w:hAnsi="Arial"/>
          <w:b/>
          <w:bCs/>
          <w:color w:val="C8A24B"/>
        </w:rPr>
        <w:t xml:space="preserve">Principle.  </w:t>
      </w:r>
      <w:r>
        <w:rPr>
          <w:rFonts w:ascii="Arial" w:eastAsia="Arial" w:hAnsi="Arial"/>
          <w:color w:val="1A1A1A"/>
        </w:rPr>
        <w:t>Water is one of the most widely used materials in pharmaceutical manufacture and is frequently used as a raw material, ingredient and solvent. Because of its tendency to support microbial growth and to carry endotoxin, water systems shall be designed, qualified, operated and monitored to deliver water of the grade appropriate to the stage of manufacture and route of administration, consistently and with an adequate margin of safety. The selection of the water grade and the controls applied shall be justified within the contamination-control strategy.</w:t>
      </w:r>
    </w:p>
    <w:p w14:paraId="22DBB920" w14:textId="77777777" w:rsidR="00CD5946" w:rsidRDefault="00000000">
      <w:pPr>
        <w:bidi/>
        <w:spacing w:after="150"/>
        <w:ind w:right="160"/>
        <w:jc w:val="right"/>
      </w:pPr>
      <w:r>
        <w:rPr>
          <w:rFonts w:ascii="Arial" w:eastAsia="Arial" w:hAnsi="Arial"/>
          <w:b/>
          <w:bCs/>
          <w:color w:val="C8A24B"/>
          <w:sz w:val="20"/>
          <w:szCs w:val="20"/>
          <w:rtl/>
        </w:rPr>
        <w:t xml:space="preserve">المبدأ. </w:t>
      </w:r>
      <w:r>
        <w:rPr>
          <w:rFonts w:ascii="Arial" w:eastAsia="Arial" w:hAnsi="Arial"/>
          <w:color w:val="333333"/>
          <w:sz w:val="20"/>
          <w:szCs w:val="20"/>
          <w:rtl/>
        </w:rPr>
        <w:t>الماء من أكثر المواد استخداماً في التصنيع، ويُستخدم كمادة خام ومكوّن ومذيب. ولميله لدعم النموّ الميكروبي وحمل الذيفان، تُصمّم أنظمة الماء وتُؤهّل وتُراقَب لتقديم الدرجة المناسبة لمرحلة التصنيع وطريق الإعطاء، باتساق وهامش أمان. ويُبرّر اختيار الدرجة في استراتيجية ضبط التلوث.</w:t>
      </w:r>
    </w:p>
    <w:p w14:paraId="6259CCC0" w14:textId="77777777" w:rsidR="00CD5946" w:rsidRDefault="00000000">
      <w:pPr>
        <w:pBdr>
          <w:left w:val="single" w:sz="10" w:space="8" w:color="CFCFCF"/>
        </w:pBdr>
        <w:spacing w:before="60" w:after="30"/>
        <w:ind w:left="160"/>
      </w:pPr>
      <w:r>
        <w:rPr>
          <w:rFonts w:ascii="Arial" w:eastAsia="Arial" w:hAnsi="Arial"/>
          <w:b/>
          <w:bCs/>
          <w:color w:val="15512F"/>
          <w:sz w:val="20"/>
          <w:szCs w:val="20"/>
        </w:rPr>
        <w:t xml:space="preserve">Scope.  </w:t>
      </w:r>
      <w:r>
        <w:rPr>
          <w:rFonts w:ascii="Arial" w:eastAsia="Arial" w:hAnsi="Arial"/>
          <w:color w:val="1A1A1A"/>
          <w:sz w:val="20"/>
          <w:szCs w:val="20"/>
        </w:rPr>
        <w:t>This Annex applies to the grades of water used in pharmaceutical manufacture — in particular Purified Water (PW) and Water for Injection (WFI) — and to their production, storage, distribution and monitoring.</w:t>
      </w:r>
    </w:p>
    <w:p w14:paraId="2A10D092" w14:textId="77777777" w:rsidR="00CD5946" w:rsidRDefault="00000000">
      <w:pPr>
        <w:bidi/>
        <w:spacing w:after="150"/>
        <w:ind w:right="160"/>
        <w:jc w:val="right"/>
      </w:pPr>
      <w:r>
        <w:rPr>
          <w:rFonts w:ascii="Arial" w:eastAsia="Arial" w:hAnsi="Arial"/>
          <w:b/>
          <w:bCs/>
          <w:color w:val="15512F"/>
          <w:sz w:val="20"/>
          <w:szCs w:val="20"/>
          <w:rtl/>
        </w:rPr>
        <w:t xml:space="preserve">النطاق. </w:t>
      </w:r>
      <w:r>
        <w:rPr>
          <w:rFonts w:ascii="Arial" w:eastAsia="Arial" w:hAnsi="Arial"/>
          <w:color w:val="333333"/>
          <w:sz w:val="20"/>
          <w:szCs w:val="20"/>
          <w:rtl/>
        </w:rPr>
        <w:t>ينطبق على درجات الماء المستخدمة — ولا سيّما الماء النقي (</w:t>
      </w:r>
      <w:r>
        <w:rPr>
          <w:rFonts w:ascii="Arial" w:eastAsia="Arial" w:hAnsi="Arial"/>
          <w:color w:val="333333"/>
          <w:sz w:val="20"/>
          <w:szCs w:val="20"/>
        </w:rPr>
        <w:t>PW</w:t>
      </w:r>
      <w:r>
        <w:rPr>
          <w:rFonts w:ascii="Arial" w:eastAsia="Arial" w:hAnsi="Arial"/>
          <w:color w:val="333333"/>
          <w:sz w:val="20"/>
          <w:szCs w:val="20"/>
          <w:rtl/>
        </w:rPr>
        <w:t>) وماء الحقن (</w:t>
      </w:r>
      <w:r>
        <w:rPr>
          <w:rFonts w:ascii="Arial" w:eastAsia="Arial" w:hAnsi="Arial"/>
          <w:color w:val="333333"/>
          <w:sz w:val="20"/>
          <w:szCs w:val="20"/>
        </w:rPr>
        <w:t>WFI</w:t>
      </w:r>
      <w:r>
        <w:rPr>
          <w:rFonts w:ascii="Arial" w:eastAsia="Arial" w:hAnsi="Arial"/>
          <w:color w:val="333333"/>
          <w:sz w:val="20"/>
          <w:szCs w:val="20"/>
          <w:rtl/>
        </w:rPr>
        <w:t>) — وعلى إنتاجها وتخزينها وتوزيعها ومراقبتها.</w:t>
      </w:r>
    </w:p>
    <w:p w14:paraId="621E3D50" w14:textId="77777777" w:rsidR="00CD5946" w:rsidRDefault="00000000">
      <w:pPr>
        <w:pStyle w:val="Heading2"/>
        <w:spacing w:before="220"/>
      </w:pPr>
      <w:bookmarkStart w:id="245" w:name="__RefHeading___Toc9647_1729075678"/>
      <w:bookmarkEnd w:id="245"/>
      <w:r>
        <w:t>1.  Quality limits</w:t>
      </w:r>
      <w:r>
        <w:rPr>
          <w:b w:val="0"/>
          <w:bCs w:val="0"/>
          <w:color w:val="1A1A1A"/>
          <w:sz w:val="21"/>
          <w:szCs w:val="21"/>
        </w:rPr>
        <w:t xml:space="preserve">   </w:t>
      </w:r>
      <w:r>
        <w:rPr>
          <w:color w:val="C8A24B"/>
          <w:sz w:val="20"/>
          <w:szCs w:val="20"/>
          <w:rtl/>
        </w:rPr>
        <w:t>حدود الجودة</w:t>
      </w:r>
    </w:p>
    <w:p w14:paraId="3D2322D2" w14:textId="77777777" w:rsidR="00CD5946" w:rsidRDefault="00000000">
      <w:pPr>
        <w:spacing w:after="40"/>
      </w:pPr>
      <w:r>
        <w:rPr>
          <w:rFonts w:ascii="Arial" w:eastAsia="Arial" w:hAnsi="Arial"/>
          <w:b/>
          <w:bCs/>
          <w:color w:val="15512F"/>
          <w:sz w:val="18"/>
          <w:szCs w:val="18"/>
        </w:rPr>
        <w:t xml:space="preserve">Table A-WAT 1 — Principal quality limits (confirm against the current pharmacopoeia) · </w:t>
      </w:r>
      <w:r>
        <w:rPr>
          <w:rFonts w:ascii="Arial" w:eastAsia="Arial" w:hAnsi="Arial"/>
          <w:b/>
          <w:bCs/>
          <w:color w:val="15512F"/>
          <w:sz w:val="18"/>
          <w:szCs w:val="18"/>
          <w:rtl/>
        </w:rPr>
        <w:t>جدول</w:t>
      </w:r>
      <w:r>
        <w:rPr>
          <w:rFonts w:ascii="Arial" w:eastAsia="Arial" w:hAnsi="Arial"/>
          <w:b/>
          <w:bCs/>
          <w:color w:val="15512F"/>
          <w:sz w:val="18"/>
          <w:szCs w:val="18"/>
        </w:rPr>
        <w:t xml:space="preserve"> A-WAT 1 — </w:t>
      </w:r>
      <w:r>
        <w:rPr>
          <w:rFonts w:ascii="Arial" w:eastAsia="Arial" w:hAnsi="Arial"/>
          <w:b/>
          <w:bCs/>
          <w:color w:val="15512F"/>
          <w:sz w:val="18"/>
          <w:szCs w:val="18"/>
          <w:rtl/>
        </w:rPr>
        <w:t>الحدود الرئيسية</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700"/>
        <w:gridCol w:w="2300"/>
        <w:gridCol w:w="2297"/>
        <w:gridCol w:w="2063"/>
      </w:tblGrid>
      <w:tr w:rsidR="00CD5946" w14:paraId="0AD84C44" w14:textId="77777777">
        <w:trPr>
          <w:tblHeader/>
        </w:trPr>
        <w:tc>
          <w:tcPr>
            <w:tcW w:w="2700" w:type="dxa"/>
            <w:tcBorders>
              <w:top w:val="single" w:sz="2" w:space="0" w:color="BFC9C0"/>
              <w:left w:val="single" w:sz="2" w:space="0" w:color="BFC9C0"/>
              <w:bottom w:val="single" w:sz="2" w:space="0" w:color="BFC9C0"/>
              <w:right w:val="single" w:sz="2" w:space="0" w:color="BFC9C0"/>
            </w:tcBorders>
            <w:shd w:val="clear" w:color="auto" w:fill="0E5A50"/>
          </w:tcPr>
          <w:p w14:paraId="07FB9654" w14:textId="77777777" w:rsidR="00CD5946" w:rsidRDefault="00000000">
            <w:pPr>
              <w:spacing w:after="0"/>
            </w:pPr>
            <w:r>
              <w:rPr>
                <w:rFonts w:ascii="Arial" w:eastAsia="Arial" w:hAnsi="Arial"/>
                <w:b/>
                <w:bCs/>
                <w:color w:val="FFFFFF"/>
                <w:sz w:val="18"/>
                <w:szCs w:val="18"/>
              </w:rPr>
              <w:t xml:space="preserve">Parameter / </w:t>
            </w:r>
            <w:r>
              <w:rPr>
                <w:rFonts w:ascii="Arial" w:eastAsia="Arial" w:hAnsi="Arial"/>
                <w:b/>
                <w:bCs/>
                <w:color w:val="FFFFFF"/>
                <w:sz w:val="18"/>
                <w:szCs w:val="18"/>
                <w:rtl/>
              </w:rPr>
              <w:t>الوسيط</w:t>
            </w:r>
          </w:p>
        </w:tc>
        <w:tc>
          <w:tcPr>
            <w:tcW w:w="2300" w:type="dxa"/>
            <w:tcBorders>
              <w:top w:val="single" w:sz="2" w:space="0" w:color="BFC9C0"/>
              <w:left w:val="single" w:sz="2" w:space="0" w:color="BFC9C0"/>
              <w:bottom w:val="single" w:sz="2" w:space="0" w:color="BFC9C0"/>
              <w:right w:val="single" w:sz="2" w:space="0" w:color="BFC9C0"/>
            </w:tcBorders>
            <w:shd w:val="clear" w:color="auto" w:fill="0E5A50"/>
          </w:tcPr>
          <w:p w14:paraId="59C2C54B" w14:textId="77777777" w:rsidR="00CD5946" w:rsidRDefault="00000000">
            <w:pPr>
              <w:spacing w:after="0"/>
            </w:pPr>
            <w:r>
              <w:rPr>
                <w:rFonts w:ascii="Arial" w:eastAsia="Arial" w:hAnsi="Arial"/>
                <w:b/>
                <w:bCs/>
                <w:color w:val="FFFFFF"/>
                <w:sz w:val="18"/>
                <w:szCs w:val="18"/>
              </w:rPr>
              <w:t>Purified Water (</w:t>
            </w:r>
            <w:r>
              <w:rPr>
                <w:rFonts w:ascii="Arial" w:eastAsia="Arial" w:hAnsi="Arial"/>
                <w:b/>
                <w:bCs/>
                <w:color w:val="FAF7F2"/>
                <w:sz w:val="18"/>
                <w:szCs w:val="18"/>
              </w:rPr>
              <w:t>PW</w:t>
            </w:r>
            <w:r>
              <w:rPr>
                <w:rFonts w:ascii="Arial" w:eastAsia="Arial" w:hAnsi="Arial"/>
                <w:b/>
                <w:bCs/>
                <w:color w:val="FFFFFF"/>
                <w:sz w:val="18"/>
                <w:szCs w:val="18"/>
              </w:rPr>
              <w:t>)</w:t>
            </w:r>
          </w:p>
        </w:tc>
        <w:tc>
          <w:tcPr>
            <w:tcW w:w="2297" w:type="dxa"/>
            <w:tcBorders>
              <w:top w:val="single" w:sz="2" w:space="0" w:color="BFC9C0"/>
              <w:left w:val="single" w:sz="2" w:space="0" w:color="BFC9C0"/>
              <w:bottom w:val="single" w:sz="2" w:space="0" w:color="BFC9C0"/>
              <w:right w:val="single" w:sz="2" w:space="0" w:color="BFC9C0"/>
            </w:tcBorders>
            <w:shd w:val="clear" w:color="auto" w:fill="0E5A50"/>
          </w:tcPr>
          <w:p w14:paraId="2017B19A" w14:textId="77777777" w:rsidR="00CD5946" w:rsidRDefault="00000000">
            <w:pPr>
              <w:spacing w:after="0"/>
            </w:pPr>
            <w:r>
              <w:rPr>
                <w:rFonts w:ascii="Arial" w:eastAsia="Arial" w:hAnsi="Arial"/>
                <w:b/>
                <w:bCs/>
                <w:color w:val="FFFFFF"/>
                <w:sz w:val="18"/>
                <w:szCs w:val="18"/>
              </w:rPr>
              <w:t>Water for Injection (</w:t>
            </w:r>
            <w:r>
              <w:rPr>
                <w:rFonts w:ascii="Arial" w:eastAsia="Arial" w:hAnsi="Arial"/>
                <w:b/>
                <w:bCs/>
                <w:color w:val="FAF7F2"/>
                <w:sz w:val="18"/>
                <w:szCs w:val="18"/>
              </w:rPr>
              <w:t>WFI</w:t>
            </w:r>
            <w:r>
              <w:rPr>
                <w:rFonts w:ascii="Arial" w:eastAsia="Arial" w:hAnsi="Arial"/>
                <w:b/>
                <w:bCs/>
                <w:color w:val="FFFFFF"/>
                <w:sz w:val="18"/>
                <w:szCs w:val="18"/>
              </w:rPr>
              <w:t>)</w:t>
            </w:r>
          </w:p>
        </w:tc>
        <w:tc>
          <w:tcPr>
            <w:tcW w:w="2063" w:type="dxa"/>
            <w:tcBorders>
              <w:top w:val="single" w:sz="2" w:space="0" w:color="BFC9C0"/>
              <w:left w:val="single" w:sz="2" w:space="0" w:color="BFC9C0"/>
              <w:bottom w:val="single" w:sz="2" w:space="0" w:color="BFC9C0"/>
              <w:right w:val="single" w:sz="2" w:space="0" w:color="BFC9C0"/>
            </w:tcBorders>
            <w:shd w:val="clear" w:color="auto" w:fill="0E5A50"/>
          </w:tcPr>
          <w:p w14:paraId="4805353D" w14:textId="77777777" w:rsidR="00CD5946" w:rsidRDefault="00000000">
            <w:pPr>
              <w:spacing w:after="0"/>
            </w:pPr>
            <w:r>
              <w:rPr>
                <w:rFonts w:ascii="Arial" w:eastAsia="Arial" w:hAnsi="Arial"/>
                <w:b/>
                <w:bCs/>
                <w:color w:val="FFFFFF"/>
                <w:sz w:val="18"/>
                <w:szCs w:val="18"/>
              </w:rPr>
              <w:t>Action</w:t>
            </w:r>
          </w:p>
        </w:tc>
      </w:tr>
      <w:tr w:rsidR="00CD5946" w14:paraId="16868A73"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26F27DC8" w14:textId="77777777" w:rsidR="00CD5946" w:rsidRDefault="00000000">
            <w:pPr>
              <w:spacing w:after="0"/>
            </w:pPr>
            <w:r>
              <w:rPr>
                <w:rFonts w:ascii="Arial" w:eastAsia="Arial" w:hAnsi="Arial"/>
                <w:color w:val="1A1A1A"/>
                <w:sz w:val="18"/>
                <w:szCs w:val="18"/>
              </w:rPr>
              <w:t>Conductivity</w:t>
            </w:r>
          </w:p>
        </w:tc>
        <w:tc>
          <w:tcPr>
            <w:tcW w:w="2300" w:type="dxa"/>
            <w:tcBorders>
              <w:top w:val="single" w:sz="2" w:space="0" w:color="BFC9C0"/>
              <w:left w:val="single" w:sz="2" w:space="0" w:color="BFC9C0"/>
              <w:bottom w:val="single" w:sz="2" w:space="0" w:color="BFC9C0"/>
              <w:right w:val="single" w:sz="2" w:space="0" w:color="BFC9C0"/>
            </w:tcBorders>
            <w:shd w:val="clear" w:color="auto" w:fill="FFFFFF"/>
          </w:tcPr>
          <w:p w14:paraId="3FD03A86" w14:textId="77777777" w:rsidR="00CD5946" w:rsidRDefault="00000000">
            <w:pPr>
              <w:spacing w:after="0"/>
            </w:pPr>
            <w:r>
              <w:rPr>
                <w:rFonts w:ascii="Arial" w:eastAsia="Arial" w:hAnsi="Arial"/>
                <w:color w:val="1A1A1A"/>
                <w:sz w:val="18"/>
                <w:szCs w:val="18"/>
              </w:rPr>
              <w:t>Ph. Eur.: ≤ 5.1 µS/cm (25 °C); USP &lt;645&gt; stage 1: ≤ 1.3 µS/cm (25 °C)</w:t>
            </w:r>
          </w:p>
        </w:tc>
        <w:tc>
          <w:tcPr>
            <w:tcW w:w="2297" w:type="dxa"/>
            <w:tcBorders>
              <w:top w:val="single" w:sz="2" w:space="0" w:color="BFC9C0"/>
              <w:left w:val="single" w:sz="2" w:space="0" w:color="BFC9C0"/>
              <w:bottom w:val="single" w:sz="2" w:space="0" w:color="BFC9C0"/>
              <w:right w:val="single" w:sz="2" w:space="0" w:color="BFC9C0"/>
            </w:tcBorders>
            <w:shd w:val="clear" w:color="auto" w:fill="FFFFFF"/>
          </w:tcPr>
          <w:p w14:paraId="3261EA7E" w14:textId="77777777" w:rsidR="00CD5946" w:rsidRDefault="00000000">
            <w:pPr>
              <w:spacing w:after="0"/>
            </w:pPr>
            <w:r>
              <w:rPr>
                <w:rFonts w:ascii="Arial" w:eastAsia="Arial" w:hAnsi="Arial"/>
                <w:color w:val="1A1A1A"/>
                <w:sz w:val="18"/>
                <w:szCs w:val="18"/>
              </w:rPr>
              <w:t>≤ 1.3 µS/cm (25°C, stage 1)</w:t>
            </w:r>
          </w:p>
        </w:tc>
        <w:tc>
          <w:tcPr>
            <w:tcW w:w="2063" w:type="dxa"/>
            <w:tcBorders>
              <w:top w:val="single" w:sz="2" w:space="0" w:color="BFC9C0"/>
              <w:left w:val="single" w:sz="2" w:space="0" w:color="BFC9C0"/>
              <w:bottom w:val="single" w:sz="2" w:space="0" w:color="BFC9C0"/>
              <w:right w:val="single" w:sz="2" w:space="0" w:color="BFC9C0"/>
            </w:tcBorders>
            <w:shd w:val="clear" w:color="auto" w:fill="FFFFFF"/>
          </w:tcPr>
          <w:p w14:paraId="716DA602" w14:textId="77777777" w:rsidR="00CD5946" w:rsidRDefault="00000000">
            <w:pPr>
              <w:spacing w:after="0"/>
            </w:pPr>
            <w:r>
              <w:rPr>
                <w:rFonts w:ascii="Arial" w:eastAsia="Arial" w:hAnsi="Arial"/>
                <w:color w:val="1A1A1A"/>
                <w:sz w:val="18"/>
                <w:szCs w:val="18"/>
              </w:rPr>
              <w:t>alert/action per system</w:t>
            </w:r>
          </w:p>
        </w:tc>
      </w:tr>
      <w:tr w:rsidR="00CD5946" w14:paraId="1C43834C"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427A0AA9" w14:textId="77777777" w:rsidR="00CD5946" w:rsidRDefault="00000000">
            <w:pPr>
              <w:spacing w:after="0"/>
            </w:pPr>
            <w:r>
              <w:rPr>
                <w:rFonts w:ascii="Arial" w:eastAsia="Arial" w:hAnsi="Arial"/>
                <w:color w:val="1A1A1A"/>
                <w:sz w:val="18"/>
                <w:szCs w:val="18"/>
              </w:rPr>
              <w:lastRenderedPageBreak/>
              <w:t>TOC</w:t>
            </w:r>
          </w:p>
        </w:tc>
        <w:tc>
          <w:tcPr>
            <w:tcW w:w="2300" w:type="dxa"/>
            <w:tcBorders>
              <w:top w:val="single" w:sz="2" w:space="0" w:color="BFC9C0"/>
              <w:left w:val="single" w:sz="2" w:space="0" w:color="BFC9C0"/>
              <w:bottom w:val="single" w:sz="2" w:space="0" w:color="BFC9C0"/>
              <w:right w:val="single" w:sz="2" w:space="0" w:color="BFC9C0"/>
            </w:tcBorders>
            <w:shd w:val="clear" w:color="auto" w:fill="EEF3F1"/>
          </w:tcPr>
          <w:p w14:paraId="5EF7C7AA" w14:textId="77777777" w:rsidR="00CD5946" w:rsidRDefault="00000000">
            <w:pPr>
              <w:spacing w:after="0"/>
            </w:pPr>
            <w:r>
              <w:rPr>
                <w:rFonts w:ascii="Arial" w:eastAsia="Arial" w:hAnsi="Arial"/>
                <w:color w:val="1A1A1A"/>
                <w:sz w:val="18"/>
                <w:szCs w:val="18"/>
              </w:rPr>
              <w:t>≤ 0.5 mg/L</w:t>
            </w:r>
          </w:p>
        </w:tc>
        <w:tc>
          <w:tcPr>
            <w:tcW w:w="2297" w:type="dxa"/>
            <w:tcBorders>
              <w:top w:val="single" w:sz="2" w:space="0" w:color="BFC9C0"/>
              <w:left w:val="single" w:sz="2" w:space="0" w:color="BFC9C0"/>
              <w:bottom w:val="single" w:sz="2" w:space="0" w:color="BFC9C0"/>
              <w:right w:val="single" w:sz="2" w:space="0" w:color="BFC9C0"/>
            </w:tcBorders>
            <w:shd w:val="clear" w:color="auto" w:fill="EEF3F1"/>
          </w:tcPr>
          <w:p w14:paraId="62B3AF87" w14:textId="77777777" w:rsidR="00CD5946" w:rsidRDefault="00000000">
            <w:pPr>
              <w:spacing w:after="0"/>
            </w:pPr>
            <w:r>
              <w:rPr>
                <w:rFonts w:ascii="Arial" w:eastAsia="Arial" w:hAnsi="Arial"/>
                <w:color w:val="1A1A1A"/>
                <w:sz w:val="18"/>
                <w:szCs w:val="18"/>
              </w:rPr>
              <w:t>≤ 0.5 mg/L</w:t>
            </w:r>
          </w:p>
        </w:tc>
        <w:tc>
          <w:tcPr>
            <w:tcW w:w="2063" w:type="dxa"/>
            <w:tcBorders>
              <w:top w:val="single" w:sz="2" w:space="0" w:color="BFC9C0"/>
              <w:left w:val="single" w:sz="2" w:space="0" w:color="BFC9C0"/>
              <w:bottom w:val="single" w:sz="2" w:space="0" w:color="BFC9C0"/>
              <w:right w:val="single" w:sz="2" w:space="0" w:color="BFC9C0"/>
            </w:tcBorders>
            <w:shd w:val="clear" w:color="auto" w:fill="EEF3F1"/>
          </w:tcPr>
          <w:p w14:paraId="2261C807" w14:textId="77777777" w:rsidR="00CD5946" w:rsidRDefault="00000000">
            <w:pPr>
              <w:spacing w:after="0"/>
            </w:pPr>
            <w:r>
              <w:rPr>
                <w:rFonts w:ascii="Arial" w:eastAsia="Arial" w:hAnsi="Arial"/>
                <w:color w:val="1A1A1A"/>
                <w:sz w:val="18"/>
                <w:szCs w:val="18"/>
              </w:rPr>
              <w:t>trend</w:t>
            </w:r>
          </w:p>
        </w:tc>
      </w:tr>
      <w:tr w:rsidR="00CD5946" w14:paraId="71F40F93"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6510AA69" w14:textId="77777777" w:rsidR="00CD5946" w:rsidRDefault="00000000">
            <w:pPr>
              <w:spacing w:after="0"/>
            </w:pPr>
            <w:r>
              <w:rPr>
                <w:rFonts w:ascii="Arial" w:eastAsia="Arial" w:hAnsi="Arial"/>
                <w:color w:val="1A1A1A"/>
                <w:sz w:val="18"/>
                <w:szCs w:val="18"/>
              </w:rPr>
              <w:t>Microbial (action)</w:t>
            </w:r>
          </w:p>
        </w:tc>
        <w:tc>
          <w:tcPr>
            <w:tcW w:w="2300" w:type="dxa"/>
            <w:tcBorders>
              <w:top w:val="single" w:sz="2" w:space="0" w:color="BFC9C0"/>
              <w:left w:val="single" w:sz="2" w:space="0" w:color="BFC9C0"/>
              <w:bottom w:val="single" w:sz="2" w:space="0" w:color="BFC9C0"/>
              <w:right w:val="single" w:sz="2" w:space="0" w:color="BFC9C0"/>
            </w:tcBorders>
            <w:shd w:val="clear" w:color="auto" w:fill="FFFFFF"/>
          </w:tcPr>
          <w:p w14:paraId="4B667A00" w14:textId="77777777" w:rsidR="00CD5946" w:rsidRDefault="00000000">
            <w:pPr>
              <w:spacing w:after="0"/>
            </w:pPr>
            <w:r>
              <w:rPr>
                <w:rFonts w:ascii="Arial" w:eastAsia="Arial" w:hAnsi="Arial"/>
                <w:color w:val="1A1A1A"/>
                <w:sz w:val="18"/>
                <w:szCs w:val="18"/>
              </w:rPr>
              <w:t>≤ 100 CFU/mL</w:t>
            </w:r>
          </w:p>
        </w:tc>
        <w:tc>
          <w:tcPr>
            <w:tcW w:w="2297" w:type="dxa"/>
            <w:tcBorders>
              <w:top w:val="single" w:sz="2" w:space="0" w:color="BFC9C0"/>
              <w:left w:val="single" w:sz="2" w:space="0" w:color="BFC9C0"/>
              <w:bottom w:val="single" w:sz="2" w:space="0" w:color="BFC9C0"/>
              <w:right w:val="single" w:sz="2" w:space="0" w:color="BFC9C0"/>
            </w:tcBorders>
            <w:shd w:val="clear" w:color="auto" w:fill="FFFFFF"/>
          </w:tcPr>
          <w:p w14:paraId="35633581" w14:textId="77777777" w:rsidR="00CD5946" w:rsidRDefault="00000000">
            <w:pPr>
              <w:spacing w:after="0"/>
            </w:pPr>
            <w:r>
              <w:rPr>
                <w:rFonts w:ascii="Arial" w:eastAsia="Arial" w:hAnsi="Arial"/>
                <w:color w:val="1A1A1A"/>
                <w:sz w:val="18"/>
                <w:szCs w:val="18"/>
              </w:rPr>
              <w:t>≤ 10 CFU/100 mL</w:t>
            </w:r>
          </w:p>
        </w:tc>
        <w:tc>
          <w:tcPr>
            <w:tcW w:w="2063" w:type="dxa"/>
            <w:tcBorders>
              <w:top w:val="single" w:sz="2" w:space="0" w:color="BFC9C0"/>
              <w:left w:val="single" w:sz="2" w:space="0" w:color="BFC9C0"/>
              <w:bottom w:val="single" w:sz="2" w:space="0" w:color="BFC9C0"/>
              <w:right w:val="single" w:sz="2" w:space="0" w:color="BFC9C0"/>
            </w:tcBorders>
            <w:shd w:val="clear" w:color="auto" w:fill="FFFFFF"/>
          </w:tcPr>
          <w:p w14:paraId="3A087818" w14:textId="77777777" w:rsidR="00CD5946" w:rsidRDefault="00000000">
            <w:pPr>
              <w:spacing w:after="0"/>
            </w:pPr>
            <w:r>
              <w:rPr>
                <w:rFonts w:ascii="Arial" w:eastAsia="Arial" w:hAnsi="Arial"/>
                <w:color w:val="1A1A1A"/>
                <w:sz w:val="18"/>
                <w:szCs w:val="18"/>
              </w:rPr>
              <w:t>investigate on exceed</w:t>
            </w:r>
          </w:p>
        </w:tc>
      </w:tr>
      <w:tr w:rsidR="00CD5946" w14:paraId="064CA955"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3B0678F5" w14:textId="77777777" w:rsidR="00CD5946" w:rsidRDefault="00000000">
            <w:pPr>
              <w:spacing w:after="0"/>
            </w:pPr>
            <w:r>
              <w:rPr>
                <w:rFonts w:ascii="Arial" w:eastAsia="Arial" w:hAnsi="Arial"/>
                <w:color w:val="1A1A1A"/>
                <w:sz w:val="18"/>
                <w:szCs w:val="18"/>
              </w:rPr>
              <w:t>Bacterial endotoxin</w:t>
            </w:r>
          </w:p>
        </w:tc>
        <w:tc>
          <w:tcPr>
            <w:tcW w:w="2300" w:type="dxa"/>
            <w:tcBorders>
              <w:top w:val="single" w:sz="2" w:space="0" w:color="BFC9C0"/>
              <w:left w:val="single" w:sz="2" w:space="0" w:color="BFC9C0"/>
              <w:bottom w:val="single" w:sz="2" w:space="0" w:color="BFC9C0"/>
              <w:right w:val="single" w:sz="2" w:space="0" w:color="BFC9C0"/>
            </w:tcBorders>
            <w:shd w:val="clear" w:color="auto" w:fill="EEF3F1"/>
          </w:tcPr>
          <w:p w14:paraId="025B20E8" w14:textId="77777777" w:rsidR="00CD5946" w:rsidRDefault="00000000">
            <w:pPr>
              <w:spacing w:after="0"/>
            </w:pPr>
            <w:r>
              <w:rPr>
                <w:rFonts w:ascii="Arial" w:eastAsia="Arial" w:hAnsi="Arial"/>
                <w:color w:val="1A1A1A"/>
                <w:sz w:val="18"/>
                <w:szCs w:val="18"/>
              </w:rPr>
              <w:t>— (not specified)</w:t>
            </w:r>
          </w:p>
        </w:tc>
        <w:tc>
          <w:tcPr>
            <w:tcW w:w="2297" w:type="dxa"/>
            <w:tcBorders>
              <w:top w:val="single" w:sz="2" w:space="0" w:color="BFC9C0"/>
              <w:left w:val="single" w:sz="2" w:space="0" w:color="BFC9C0"/>
              <w:bottom w:val="single" w:sz="2" w:space="0" w:color="BFC9C0"/>
              <w:right w:val="single" w:sz="2" w:space="0" w:color="BFC9C0"/>
            </w:tcBorders>
            <w:shd w:val="clear" w:color="auto" w:fill="EEF3F1"/>
          </w:tcPr>
          <w:p w14:paraId="7D0A05D9" w14:textId="77777777" w:rsidR="00CD5946" w:rsidRDefault="00000000">
            <w:pPr>
              <w:spacing w:after="0"/>
            </w:pPr>
            <w:r>
              <w:rPr>
                <w:rFonts w:ascii="Arial" w:eastAsia="Arial" w:hAnsi="Arial"/>
                <w:color w:val="1A1A1A"/>
                <w:sz w:val="18"/>
                <w:szCs w:val="18"/>
              </w:rPr>
              <w:t>&lt; 0.25 IU/mL</w:t>
            </w:r>
          </w:p>
        </w:tc>
        <w:tc>
          <w:tcPr>
            <w:tcW w:w="2063" w:type="dxa"/>
            <w:tcBorders>
              <w:top w:val="single" w:sz="2" w:space="0" w:color="BFC9C0"/>
              <w:left w:val="single" w:sz="2" w:space="0" w:color="BFC9C0"/>
              <w:bottom w:val="single" w:sz="2" w:space="0" w:color="BFC9C0"/>
              <w:right w:val="single" w:sz="2" w:space="0" w:color="BFC9C0"/>
            </w:tcBorders>
            <w:shd w:val="clear" w:color="auto" w:fill="EEF3F1"/>
          </w:tcPr>
          <w:p w14:paraId="048F3E10" w14:textId="77777777" w:rsidR="00CD5946" w:rsidRDefault="00000000">
            <w:pPr>
              <w:spacing w:after="0"/>
            </w:pPr>
            <w:r>
              <w:rPr>
                <w:rFonts w:ascii="Arial" w:eastAsia="Arial" w:hAnsi="Arial"/>
                <w:color w:val="1A1A1A"/>
                <w:sz w:val="18"/>
                <w:szCs w:val="18"/>
              </w:rPr>
              <w:t>investigate on exceed</w:t>
            </w:r>
          </w:p>
        </w:tc>
      </w:tr>
      <w:tr w:rsidR="00CD5946" w14:paraId="6B18C9F9"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4608DA3A" w14:textId="77777777" w:rsidR="00CD5946" w:rsidRDefault="00000000">
            <w:pPr>
              <w:spacing w:after="0"/>
            </w:pPr>
            <w:r>
              <w:rPr>
                <w:rFonts w:ascii="Arial" w:eastAsia="Arial" w:hAnsi="Arial"/>
                <w:color w:val="1A1A1A"/>
                <w:sz w:val="18"/>
                <w:szCs w:val="18"/>
              </w:rPr>
              <w:t>Nitrates (heavy-metals test deleted from current monographs; elemental impurities per ICH Q3D)</w:t>
            </w:r>
          </w:p>
        </w:tc>
        <w:tc>
          <w:tcPr>
            <w:tcW w:w="2300" w:type="dxa"/>
            <w:tcBorders>
              <w:top w:val="single" w:sz="2" w:space="0" w:color="BFC9C0"/>
              <w:left w:val="single" w:sz="2" w:space="0" w:color="BFC9C0"/>
              <w:bottom w:val="single" w:sz="2" w:space="0" w:color="BFC9C0"/>
              <w:right w:val="single" w:sz="2" w:space="0" w:color="BFC9C0"/>
            </w:tcBorders>
            <w:shd w:val="clear" w:color="auto" w:fill="FFFFFF"/>
          </w:tcPr>
          <w:p w14:paraId="5CA8AD53" w14:textId="77777777" w:rsidR="00CD5946" w:rsidRDefault="00000000">
            <w:pPr>
              <w:spacing w:after="0"/>
            </w:pPr>
            <w:r>
              <w:rPr>
                <w:rFonts w:ascii="Arial" w:eastAsia="Arial" w:hAnsi="Arial"/>
                <w:color w:val="1A1A1A"/>
                <w:sz w:val="18"/>
                <w:szCs w:val="18"/>
              </w:rPr>
              <w:t>PW: ≤ 0.2 ppm (Ph. Eur.)</w:t>
            </w:r>
          </w:p>
        </w:tc>
        <w:tc>
          <w:tcPr>
            <w:tcW w:w="2297" w:type="dxa"/>
            <w:tcBorders>
              <w:top w:val="single" w:sz="2" w:space="0" w:color="BFC9C0"/>
              <w:left w:val="single" w:sz="2" w:space="0" w:color="BFC9C0"/>
              <w:bottom w:val="single" w:sz="2" w:space="0" w:color="BFC9C0"/>
              <w:right w:val="single" w:sz="2" w:space="0" w:color="BFC9C0"/>
            </w:tcBorders>
            <w:shd w:val="clear" w:color="auto" w:fill="FFFFFF"/>
          </w:tcPr>
          <w:p w14:paraId="4E0E2337" w14:textId="77777777" w:rsidR="00CD5946" w:rsidRDefault="00000000">
            <w:pPr>
              <w:spacing w:after="0"/>
            </w:pPr>
            <w:r>
              <w:rPr>
                <w:rFonts w:ascii="Arial" w:eastAsia="Arial" w:hAnsi="Arial"/>
                <w:color w:val="1A1A1A"/>
                <w:sz w:val="18"/>
                <w:szCs w:val="18"/>
              </w:rPr>
              <w:t>WFI: per pharmacopoeia</w:t>
            </w:r>
          </w:p>
        </w:tc>
        <w:tc>
          <w:tcPr>
            <w:tcW w:w="2063" w:type="dxa"/>
            <w:tcBorders>
              <w:top w:val="single" w:sz="2" w:space="0" w:color="BFC9C0"/>
              <w:left w:val="single" w:sz="2" w:space="0" w:color="BFC9C0"/>
              <w:bottom w:val="single" w:sz="2" w:space="0" w:color="BFC9C0"/>
              <w:right w:val="single" w:sz="2" w:space="0" w:color="BFC9C0"/>
            </w:tcBorders>
            <w:shd w:val="clear" w:color="auto" w:fill="FFFFFF"/>
          </w:tcPr>
          <w:p w14:paraId="0F69DB90" w14:textId="77777777" w:rsidR="00CD5946" w:rsidRDefault="00000000">
            <w:pPr>
              <w:spacing w:after="0"/>
            </w:pPr>
            <w:r>
              <w:rPr>
                <w:rFonts w:ascii="Arial" w:eastAsia="Arial" w:hAnsi="Arial"/>
                <w:color w:val="1A1A1A"/>
                <w:sz w:val="18"/>
                <w:szCs w:val="18"/>
              </w:rPr>
              <w:t>—</w:t>
            </w:r>
          </w:p>
        </w:tc>
      </w:tr>
    </w:tbl>
    <w:p w14:paraId="31094B2C" w14:textId="77777777" w:rsidR="00CD5946" w:rsidRDefault="00000000">
      <w:pPr>
        <w:spacing w:after="40" w:line="266" w:lineRule="auto"/>
        <w:ind w:left="300" w:hanging="300"/>
      </w:pPr>
      <w:r>
        <w:rPr>
          <w:rFonts w:ascii="Arial" w:eastAsia="Arial" w:hAnsi="Arial"/>
          <w:b/>
          <w:bCs/>
          <w:color w:val="15512F"/>
        </w:rPr>
        <w:t xml:space="preserve">WAT.1  </w:t>
      </w:r>
      <w:r>
        <w:rPr>
          <w:rFonts w:ascii="Arial" w:eastAsia="Arial" w:hAnsi="Arial"/>
          <w:color w:val="1A1A1A"/>
        </w:rPr>
        <w:t>WFI shall be produced by distillation or by a purification process equivalent to distillation (for example reverse osmosis coupled with appropriate downstream technologies) where permitted by the applicable pharmacopoeia and justified by validation. The storage and distribution loop shall prevent microbial proliferation — for example continuous circulation at &gt; 70°C, periodic sanitisation, avoidance of dead-legs (commonly the L≤3D rule), and sloping to drain. Monitoring shall include online conductivity/TOC and a defined microbial and endotoxin sampling plan with alert and action limits.</w:t>
      </w:r>
    </w:p>
    <w:p w14:paraId="4C95983F"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يُنتَج </w:t>
      </w:r>
      <w:r>
        <w:rPr>
          <w:rFonts w:ascii="Arial" w:eastAsia="Arial" w:hAnsi="Arial"/>
          <w:color w:val="333333"/>
          <w:sz w:val="20"/>
          <w:szCs w:val="20"/>
        </w:rPr>
        <w:t>WFI</w:t>
      </w:r>
      <w:r>
        <w:rPr>
          <w:rFonts w:ascii="Arial" w:eastAsia="Arial" w:hAnsi="Arial"/>
          <w:color w:val="333333"/>
          <w:sz w:val="20"/>
          <w:szCs w:val="20"/>
          <w:rtl/>
        </w:rPr>
        <w:t xml:space="preserve"> بالتقطير أو بعملية مكافئة (كالتناضح العكسي مع تقنيات لاحقة) حيث يُسمح به دستوريّاً ويُبرّر بالتحقّق. وتمنع حلقة التخزين والتوزيع التكاثر الميكروبي — بالدوران المستمر ⁦</w:t>
      </w:r>
      <w:r>
        <w:rPr>
          <w:rFonts w:ascii="Arial" w:eastAsia="Arial" w:hAnsi="Arial"/>
          <w:color w:val="333333"/>
          <w:sz w:val="20"/>
          <w:szCs w:val="20"/>
        </w:rPr>
        <w:t>&gt; 70°</w:t>
      </w:r>
      <w:r>
        <w:rPr>
          <w:rFonts w:ascii="Arial" w:eastAsia="Arial" w:hAnsi="Arial"/>
          <w:color w:val="333333"/>
          <w:sz w:val="20"/>
          <w:szCs w:val="20"/>
          <w:rtl/>
        </w:rPr>
        <w:t xml:space="preserve">⁩م، والتعقيم الدوري، وتجنّب الفروع الميتة (قاعدة </w:t>
      </w:r>
      <w:r>
        <w:rPr>
          <w:rFonts w:ascii="Arial" w:eastAsia="Arial" w:hAnsi="Arial"/>
          <w:color w:val="333333"/>
          <w:sz w:val="20"/>
          <w:szCs w:val="20"/>
        </w:rPr>
        <w:t>L</w:t>
      </w:r>
      <w:r>
        <w:rPr>
          <w:rFonts w:ascii="Arial" w:eastAsia="Arial" w:hAnsi="Arial"/>
          <w:color w:val="333333"/>
          <w:sz w:val="20"/>
          <w:szCs w:val="20"/>
          <w:rtl/>
        </w:rPr>
        <w:t>⁦</w:t>
      </w:r>
      <w:r>
        <w:rPr>
          <w:rFonts w:ascii="Arial" w:eastAsia="Arial" w:hAnsi="Arial"/>
          <w:color w:val="333333"/>
          <w:sz w:val="20"/>
          <w:szCs w:val="20"/>
        </w:rPr>
        <w:t>≤3D</w:t>
      </w:r>
      <w:r>
        <w:rPr>
          <w:rFonts w:ascii="Arial" w:eastAsia="Arial" w:hAnsi="Arial"/>
          <w:color w:val="333333"/>
          <w:sz w:val="20"/>
          <w:szCs w:val="20"/>
          <w:rtl/>
        </w:rPr>
        <w:t>⁩)، والميل للصرف. وتشمل المراقبة الناقلية/الكربون العضوي آنيّاً وخطة عينات ميكروبية وذيفان بحدود تنبيه وإجراء.</w:t>
      </w:r>
      <w:r>
        <w:rPr>
          <w:rFonts w:ascii="Arial" w:eastAsia="Arial" w:hAnsi="Arial"/>
          <w:b/>
          <w:bCs/>
          <w:color w:val="15512F"/>
          <w:sz w:val="20"/>
          <w:szCs w:val="20"/>
          <w:rtl/>
        </w:rPr>
        <w:t xml:space="preserve">  </w:t>
      </w:r>
      <w:r>
        <w:rPr>
          <w:rFonts w:ascii="Arial" w:eastAsia="Arial" w:hAnsi="Arial"/>
          <w:b/>
          <w:bCs/>
          <w:color w:val="15512F"/>
          <w:sz w:val="20"/>
          <w:szCs w:val="20"/>
        </w:rPr>
        <w:t>WAT</w:t>
      </w:r>
      <w:r>
        <w:rPr>
          <w:rFonts w:ascii="Arial" w:eastAsia="Arial" w:hAnsi="Arial"/>
          <w:b/>
          <w:bCs/>
          <w:color w:val="15512F"/>
          <w:sz w:val="20"/>
          <w:szCs w:val="20"/>
          <w:rtl/>
        </w:rPr>
        <w:t>.⁦</w:t>
      </w:r>
      <w:r>
        <w:rPr>
          <w:rFonts w:ascii="Arial" w:eastAsia="Arial" w:hAnsi="Arial"/>
          <w:b/>
          <w:bCs/>
          <w:color w:val="15512F"/>
          <w:sz w:val="20"/>
          <w:szCs w:val="20"/>
        </w:rPr>
        <w:t>1</w:t>
      </w:r>
      <w:r>
        <w:rPr>
          <w:rFonts w:ascii="Arial" w:eastAsia="Arial" w:hAnsi="Arial"/>
          <w:b/>
          <w:bCs/>
          <w:color w:val="15512F"/>
          <w:sz w:val="20"/>
          <w:szCs w:val="20"/>
          <w:rtl/>
        </w:rPr>
        <w:t>⁩</w:t>
      </w:r>
    </w:p>
    <w:p w14:paraId="21FE8ABF" w14:textId="77777777" w:rsidR="00CD5946" w:rsidRDefault="00000000">
      <w:pPr>
        <w:pBdr>
          <w:left w:val="single" w:sz="6" w:space="8" w:color="CFCFCF"/>
        </w:pBd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Water-system qualification is staged (Phase 1–2–3) over about a year to capture seasonal variation before the system is approved for routine WFI/PW supply. Confirm all numeric limits against the current Ph.Eur./USP edition — the values above are indicative and maintained in Appendix B. A revised Ph. Eur. water-for-pharmaceutical-use framework took effect on 1 July 2026; verify the monographs in force at the time of use.</w:t>
      </w:r>
    </w:p>
    <w:p w14:paraId="3D1D7D68" w14:textId="77777777" w:rsidR="00CD5946" w:rsidRDefault="00000000">
      <w:pPr>
        <w:bidi/>
        <w:spacing w:after="140"/>
        <w:ind w:right="300"/>
        <w:jc w:val="right"/>
      </w:pPr>
      <w:r>
        <w:rPr>
          <w:rFonts w:ascii="Arial" w:eastAsia="Arial" w:hAnsi="Arial"/>
          <w:color w:val="5A5A5A"/>
          <w:sz w:val="18"/>
          <w:szCs w:val="18"/>
          <w:rtl/>
        </w:rPr>
        <w:t>تأهيل نظام الماء على مراحل (⁦</w:t>
      </w:r>
      <w:r>
        <w:rPr>
          <w:rFonts w:ascii="Arial" w:eastAsia="Arial" w:hAnsi="Arial"/>
          <w:color w:val="5A5A5A"/>
          <w:sz w:val="18"/>
          <w:szCs w:val="18"/>
        </w:rPr>
        <w:t>1–2–3</w:t>
      </w:r>
      <w:r>
        <w:rPr>
          <w:rFonts w:ascii="Arial" w:eastAsia="Arial" w:hAnsi="Arial"/>
          <w:color w:val="5A5A5A"/>
          <w:sz w:val="18"/>
          <w:szCs w:val="18"/>
          <w:rtl/>
        </w:rPr>
        <w:t>⁩) عبر نحو سنة لرصد التباين الموسمي. وتُؤكّد الحدود مقابل الدستور الحالي؛ والقيم أعلاه إرشادية ومحفوظة في الملحق ب.</w:t>
      </w:r>
      <w:r>
        <w:rPr>
          <w:rFonts w:ascii="Arial" w:eastAsia="Arial" w:hAnsi="Arial"/>
          <w:b/>
          <w:bCs/>
          <w:color w:val="5A5A5A"/>
          <w:sz w:val="18"/>
          <w:szCs w:val="18"/>
          <w:rtl/>
        </w:rPr>
        <w:t xml:space="preserve">  ملاحظة.</w:t>
      </w:r>
    </w:p>
    <w:p w14:paraId="2F60C537" w14:textId="77777777" w:rsidR="00CD5946" w:rsidRDefault="00000000">
      <w:pPr>
        <w:pStyle w:val="Heading2"/>
        <w:spacing w:before="220"/>
      </w:pPr>
      <w:bookmarkStart w:id="246" w:name="__RefHeading___Toc9649_1729075678"/>
      <w:bookmarkEnd w:id="246"/>
      <w:r>
        <w:t>2.  Glossary (Annex A-WAT)</w:t>
      </w:r>
      <w:r>
        <w:rPr>
          <w:b w:val="0"/>
          <w:bCs w:val="0"/>
          <w:color w:val="1A1A1A"/>
          <w:sz w:val="21"/>
          <w:szCs w:val="21"/>
        </w:rPr>
        <w:t xml:space="preserve">   </w:t>
      </w:r>
      <w:r>
        <w:rPr>
          <w:color w:val="C8A24B"/>
          <w:sz w:val="20"/>
          <w:szCs w:val="20"/>
          <w:rtl/>
        </w:rPr>
        <w:t>مسرد</w:t>
      </w:r>
      <w:r>
        <w:rPr>
          <w:color w:val="C8A24B"/>
          <w:sz w:val="20"/>
          <w:szCs w:val="20"/>
        </w:rPr>
        <w:t xml:space="preserve"> A-WAT</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700"/>
        <w:gridCol w:w="6660"/>
      </w:tblGrid>
      <w:tr w:rsidR="00CD5946" w14:paraId="15258A31" w14:textId="77777777">
        <w:trPr>
          <w:tblHeader/>
        </w:trPr>
        <w:tc>
          <w:tcPr>
            <w:tcW w:w="2700" w:type="dxa"/>
            <w:tcBorders>
              <w:top w:val="single" w:sz="2" w:space="0" w:color="BFC9C0"/>
              <w:left w:val="single" w:sz="2" w:space="0" w:color="BFC9C0"/>
              <w:bottom w:val="single" w:sz="2" w:space="0" w:color="BFC9C0"/>
              <w:right w:val="single" w:sz="2" w:space="0" w:color="BFC9C0"/>
            </w:tcBorders>
            <w:shd w:val="clear" w:color="auto" w:fill="0E5A50"/>
          </w:tcPr>
          <w:p w14:paraId="2E7A9EEE" w14:textId="77777777" w:rsidR="00CD5946" w:rsidRDefault="00000000">
            <w:pPr>
              <w:spacing w:after="0"/>
            </w:pPr>
            <w:r>
              <w:rPr>
                <w:rFonts w:ascii="Arial" w:eastAsia="Arial" w:hAnsi="Arial"/>
                <w:b/>
                <w:bCs/>
                <w:color w:val="FFFFFF"/>
                <w:sz w:val="18"/>
                <w:szCs w:val="18"/>
              </w:rPr>
              <w:t xml:space="preserve">Term / </w:t>
            </w:r>
            <w:r>
              <w:rPr>
                <w:rFonts w:ascii="Arial" w:eastAsia="Arial" w:hAnsi="Arial"/>
                <w:b/>
                <w:bCs/>
                <w:color w:val="FFFFFF"/>
                <w:sz w:val="18"/>
                <w:szCs w:val="18"/>
                <w:rtl/>
              </w:rPr>
              <w:t>المصطلح</w:t>
            </w:r>
          </w:p>
        </w:tc>
        <w:tc>
          <w:tcPr>
            <w:tcW w:w="6660" w:type="dxa"/>
            <w:tcBorders>
              <w:top w:val="single" w:sz="2" w:space="0" w:color="BFC9C0"/>
              <w:left w:val="single" w:sz="2" w:space="0" w:color="BFC9C0"/>
              <w:bottom w:val="single" w:sz="2" w:space="0" w:color="BFC9C0"/>
              <w:right w:val="single" w:sz="2" w:space="0" w:color="BFC9C0"/>
            </w:tcBorders>
            <w:shd w:val="clear" w:color="auto" w:fill="0E5A50"/>
          </w:tcPr>
          <w:p w14:paraId="312FE308" w14:textId="77777777" w:rsidR="00CD5946" w:rsidRDefault="00000000">
            <w:pPr>
              <w:spacing w:after="0"/>
            </w:pPr>
            <w:r>
              <w:rPr>
                <w:rFonts w:ascii="Arial" w:eastAsia="Arial" w:hAnsi="Arial"/>
                <w:b/>
                <w:bCs/>
                <w:color w:val="FFFFFF"/>
                <w:sz w:val="18"/>
                <w:szCs w:val="18"/>
              </w:rPr>
              <w:t xml:space="preserve">Definition / </w:t>
            </w:r>
            <w:r>
              <w:rPr>
                <w:rFonts w:ascii="Arial" w:eastAsia="Arial" w:hAnsi="Arial"/>
                <w:b/>
                <w:bCs/>
                <w:color w:val="FFFFFF"/>
                <w:sz w:val="18"/>
                <w:szCs w:val="18"/>
                <w:rtl/>
              </w:rPr>
              <w:t>التعريف</w:t>
            </w:r>
          </w:p>
        </w:tc>
      </w:tr>
      <w:tr w:rsidR="00CD5946" w14:paraId="34E5F7C5"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5C333CEF" w14:textId="77777777" w:rsidR="00CD5946" w:rsidRDefault="00000000">
            <w:pPr>
              <w:spacing w:after="0"/>
            </w:pPr>
            <w:r>
              <w:rPr>
                <w:rFonts w:ascii="Arial" w:eastAsia="Arial" w:hAnsi="Arial"/>
                <w:b/>
                <w:bCs/>
                <w:color w:val="15512F"/>
                <w:sz w:val="18"/>
                <w:szCs w:val="18"/>
              </w:rPr>
              <w:t>WFI</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34B59370" w14:textId="77777777" w:rsidR="00CD5946" w:rsidRDefault="00000000">
            <w:pPr>
              <w:spacing w:after="0"/>
            </w:pPr>
            <w:r>
              <w:rPr>
                <w:rFonts w:ascii="Arial" w:eastAsia="Arial" w:hAnsi="Arial"/>
                <w:color w:val="1A1A1A"/>
                <w:sz w:val="18"/>
                <w:szCs w:val="18"/>
              </w:rPr>
              <w:t xml:space="preserve">Water for Injection: pharmacopoeial water of the highest microbial/endotoxin quality for parenteral use. / </w:t>
            </w:r>
            <w:r>
              <w:rPr>
                <w:rFonts w:ascii="Arial" w:eastAsia="Arial" w:hAnsi="Arial"/>
                <w:color w:val="1A1A1A"/>
                <w:sz w:val="18"/>
                <w:szCs w:val="18"/>
                <w:rtl/>
              </w:rPr>
              <w:t>ماء الحقن</w:t>
            </w:r>
            <w:r>
              <w:rPr>
                <w:rFonts w:ascii="Arial" w:eastAsia="Arial" w:hAnsi="Arial"/>
                <w:color w:val="1A1A1A"/>
                <w:sz w:val="18"/>
                <w:szCs w:val="18"/>
              </w:rPr>
              <w:t>.</w:t>
            </w:r>
          </w:p>
        </w:tc>
      </w:tr>
      <w:tr w:rsidR="00CD5946" w14:paraId="36BBA32F"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755F105D" w14:textId="77777777" w:rsidR="00CD5946" w:rsidRDefault="00000000">
            <w:pPr>
              <w:spacing w:after="0"/>
            </w:pPr>
            <w:r>
              <w:rPr>
                <w:rFonts w:ascii="Arial" w:eastAsia="Arial" w:hAnsi="Arial"/>
                <w:b/>
                <w:bCs/>
                <w:color w:val="15512F"/>
                <w:sz w:val="18"/>
                <w:szCs w:val="18"/>
              </w:rPr>
              <w:t>PW</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5B03AAC8" w14:textId="77777777" w:rsidR="00CD5946" w:rsidRDefault="00000000">
            <w:pPr>
              <w:spacing w:after="0"/>
            </w:pPr>
            <w:r>
              <w:rPr>
                <w:rFonts w:ascii="Arial" w:eastAsia="Arial" w:hAnsi="Arial"/>
                <w:color w:val="1A1A1A"/>
                <w:sz w:val="18"/>
                <w:szCs w:val="18"/>
              </w:rPr>
              <w:t xml:space="preserve">Purified Water: pharmacopoeial water for non-parenteral applications. / </w:t>
            </w:r>
            <w:r>
              <w:rPr>
                <w:rFonts w:ascii="Arial" w:eastAsia="Arial" w:hAnsi="Arial"/>
                <w:color w:val="1A1A1A"/>
                <w:sz w:val="18"/>
                <w:szCs w:val="18"/>
                <w:rtl/>
              </w:rPr>
              <w:t>الماء النقي</w:t>
            </w:r>
            <w:r>
              <w:rPr>
                <w:rFonts w:ascii="Arial" w:eastAsia="Arial" w:hAnsi="Arial"/>
                <w:color w:val="1A1A1A"/>
                <w:sz w:val="18"/>
                <w:szCs w:val="18"/>
              </w:rPr>
              <w:t>.</w:t>
            </w:r>
          </w:p>
        </w:tc>
      </w:tr>
      <w:tr w:rsidR="00CD5946" w14:paraId="52F4C1D2"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57700476" w14:textId="77777777" w:rsidR="00CD5946" w:rsidRDefault="00000000">
            <w:pPr>
              <w:spacing w:after="0"/>
            </w:pPr>
            <w:r>
              <w:rPr>
                <w:rFonts w:ascii="Arial" w:eastAsia="Arial" w:hAnsi="Arial"/>
                <w:b/>
                <w:bCs/>
                <w:color w:val="15512F"/>
                <w:sz w:val="18"/>
                <w:szCs w:val="18"/>
              </w:rPr>
              <w:t>Dead-leg</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7F67FA28" w14:textId="77777777" w:rsidR="00CD5946" w:rsidRDefault="00000000">
            <w:pPr>
              <w:spacing w:after="0"/>
            </w:pPr>
            <w:r>
              <w:rPr>
                <w:rFonts w:ascii="Arial" w:eastAsia="Arial" w:hAnsi="Arial"/>
                <w:color w:val="1A1A1A"/>
                <w:sz w:val="18"/>
                <w:szCs w:val="18"/>
              </w:rPr>
              <w:t xml:space="preserve">A section of pipe with no flow where microbial growth can occur; minimised by the L≤3D rule. / </w:t>
            </w:r>
            <w:r>
              <w:rPr>
                <w:rFonts w:ascii="Arial" w:eastAsia="Arial" w:hAnsi="Arial"/>
                <w:color w:val="1A1A1A"/>
                <w:sz w:val="18"/>
                <w:szCs w:val="18"/>
                <w:rtl/>
              </w:rPr>
              <w:t>فرع بلا جريان يُقلّل بقاعدة</w:t>
            </w:r>
            <w:r>
              <w:rPr>
                <w:rFonts w:ascii="Arial" w:eastAsia="Arial" w:hAnsi="Arial"/>
                <w:color w:val="1A1A1A"/>
                <w:sz w:val="18"/>
                <w:szCs w:val="18"/>
              </w:rPr>
              <w:t xml:space="preserve"> L≤3D.</w:t>
            </w:r>
          </w:p>
        </w:tc>
      </w:tr>
    </w:tbl>
    <w:p w14:paraId="12BC87B5" w14:textId="77777777" w:rsidR="00CD5946" w:rsidRDefault="00000000">
      <w:pPr>
        <w:spacing w:before="260" w:after="0"/>
        <w:jc w:val="center"/>
      </w:pPr>
      <w:r>
        <w:rPr>
          <w:noProof/>
        </w:rPr>
        <w:drawing>
          <wp:inline distT="0" distB="0" distL="0" distR="0" wp14:anchorId="72177A2A" wp14:editId="09B6A27C">
            <wp:extent cx="876300" cy="1238250"/>
            <wp:effectExtent l="0" t="0" r="0" b="0"/>
            <wp:docPr id="22" name="Image21"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1"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65AEEC3D" w14:textId="77777777" w:rsidR="00CD5946" w:rsidRDefault="00000000">
      <w:pPr>
        <w:spacing w:before="50" w:after="0"/>
        <w:jc w:val="center"/>
      </w:pPr>
      <w:r>
        <w:rPr>
          <w:rFonts w:ascii="Arial" w:eastAsia="Arial" w:hAnsi="Arial"/>
          <w:b/>
          <w:bCs/>
          <w:color w:val="15512F"/>
          <w:sz w:val="19"/>
          <w:szCs w:val="19"/>
        </w:rPr>
        <w:t>AUPAM EXPERTS' OFFICE</w:t>
      </w:r>
    </w:p>
    <w:p w14:paraId="02A9D6ED"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48A6F1C0" w14:textId="77777777" w:rsidR="00CD5946" w:rsidRDefault="00000000">
      <w:pPr>
        <w:spacing w:before="10" w:after="0"/>
        <w:jc w:val="center"/>
      </w:pPr>
      <w:r>
        <w:rPr>
          <w:rFonts w:ascii="Arial" w:eastAsia="Arial" w:hAnsi="Arial"/>
          <w:b/>
          <w:bCs/>
          <w:color w:val="B08C37"/>
          <w:sz w:val="24"/>
          <w:szCs w:val="24"/>
        </w:rPr>
        <w:t>2026 EDITION</w:t>
      </w:r>
    </w:p>
    <w:p w14:paraId="479540AC" w14:textId="77777777" w:rsidR="00CD5946" w:rsidRDefault="00000000">
      <w:pPr>
        <w:spacing w:before="260" w:after="0"/>
        <w:jc w:val="center"/>
      </w:pPr>
      <w:r>
        <w:rPr>
          <w:rFonts w:ascii="Arial" w:eastAsia="Arial" w:hAnsi="Arial"/>
          <w:b/>
          <w:bCs/>
          <w:color w:val="15512F"/>
          <w:sz w:val="54"/>
          <w:szCs w:val="54"/>
        </w:rPr>
        <w:t>ANNEX A-CR</w:t>
      </w:r>
    </w:p>
    <w:p w14:paraId="43DEE2DF" w14:textId="77777777" w:rsidR="00CD5946" w:rsidRDefault="00000000">
      <w:pPr>
        <w:spacing w:before="40" w:after="0"/>
        <w:jc w:val="center"/>
      </w:pPr>
      <w:r>
        <w:rPr>
          <w:rFonts w:ascii="Arial" w:eastAsia="Arial" w:hAnsi="Arial"/>
          <w:b/>
          <w:bCs/>
          <w:color w:val="1A1A1A"/>
          <w:sz w:val="28"/>
          <w:szCs w:val="28"/>
        </w:rPr>
        <w:t>Cleanroom Classification and Qualification</w:t>
      </w:r>
    </w:p>
    <w:p w14:paraId="58B25D6D" w14:textId="77777777" w:rsidR="00CD5946" w:rsidRDefault="00000000">
      <w:pPr>
        <w:spacing w:before="16" w:after="0"/>
        <w:jc w:val="center"/>
      </w:pPr>
      <w:r>
        <w:rPr>
          <w:rFonts w:ascii="Arial" w:eastAsia="Arial" w:hAnsi="Arial"/>
          <w:color w:val="5A5A5A"/>
          <w:sz w:val="22"/>
          <w:szCs w:val="22"/>
        </w:rPr>
        <w:lastRenderedPageBreak/>
        <w:t>Grades A–D · particle limits · qualification · EN | AR</w:t>
      </w:r>
    </w:p>
    <w:p w14:paraId="4DB70553" w14:textId="77777777" w:rsidR="00CD5946" w:rsidRDefault="00000000">
      <w:pPr>
        <w:spacing w:before="26" w:after="0"/>
        <w:jc w:val="center"/>
      </w:pPr>
      <w:r>
        <w:rPr>
          <w:rFonts w:ascii="Arial" w:eastAsia="Arial" w:hAnsi="Arial"/>
          <w:b/>
          <w:bCs/>
          <w:color w:val="15512F"/>
          <w:sz w:val="22"/>
          <w:szCs w:val="22"/>
          <w:rtl/>
        </w:rPr>
        <w:t>الملحق</w:t>
      </w:r>
      <w:r>
        <w:rPr>
          <w:rFonts w:ascii="Arial" w:eastAsia="Arial" w:hAnsi="Arial"/>
          <w:b/>
          <w:bCs/>
          <w:color w:val="15512F"/>
          <w:sz w:val="22"/>
          <w:szCs w:val="22"/>
        </w:rPr>
        <w:t xml:space="preserve"> A-CR — </w:t>
      </w:r>
      <w:r>
        <w:rPr>
          <w:rFonts w:ascii="Arial" w:eastAsia="Arial" w:hAnsi="Arial"/>
          <w:b/>
          <w:bCs/>
          <w:color w:val="15512F"/>
          <w:sz w:val="22"/>
          <w:szCs w:val="22"/>
          <w:rtl/>
        </w:rPr>
        <w:t>تصنيف الغرف النظيفة</w:t>
      </w:r>
    </w:p>
    <w:p w14:paraId="01541C1F"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12C77202" w14:textId="77777777" w:rsidR="00CD5946" w:rsidRDefault="00000000">
      <w:r>
        <w:br w:type="page"/>
      </w:r>
    </w:p>
    <w:p w14:paraId="086D78AB" w14:textId="77777777" w:rsidR="00CD5946" w:rsidRDefault="00000000">
      <w:pPr>
        <w:pStyle w:val="Heading1"/>
        <w:spacing w:before="0"/>
      </w:pPr>
      <w:bookmarkStart w:id="247" w:name="__RefHeading___Toc9651_1729075678"/>
      <w:bookmarkEnd w:id="247"/>
      <w:r>
        <w:lastRenderedPageBreak/>
        <w:t>Contents</w:t>
      </w:r>
    </w:p>
    <w:sdt>
      <w:sdtPr>
        <w:id w:val="-1119287719"/>
        <w:docPartObj>
          <w:docPartGallery w:val="Table of Contents"/>
          <w:docPartUnique/>
        </w:docPartObj>
      </w:sdtPr>
      <w:sdtContent>
        <w:p w14:paraId="6ABAF11A"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20C064C0"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0FE5E3EF"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0165F490"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3F63D649"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74207B2B"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1D222552"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41FE88A4"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5CCCCADA"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378EEDC7"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0144CA4E"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4711D21A"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11B5F907"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0D1F4EB9"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051BC622"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158CBF4D"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5393A23F"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61C42A58"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3D995B8B"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3F59BAB7"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705CC270"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319C393A"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514C2755"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718DC9BC"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678113AD"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5DDCC0B8"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78DA29C2"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6480EC4A"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40F5B39E"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2CF87AFB"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5392CD11"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41D1F5DE"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2ED226AF"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4F22C3AB"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03B94487"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75869481"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46FC122C"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4F51FED2"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17A99A27"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608B982B"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665986D4"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139671B9"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0D957F9B"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3B4D1608"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1752F7A4"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64F31409"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5C5485B8"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319AC5A0"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199C668A"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201686B0"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1B39DD84"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15F3C0AF"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4333C819"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34904EB5"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1F28579D"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69B5DE0D"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01148586"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0B530F45"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0C7D7647"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442F4737"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64CBDAC3"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7B9461D3"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0679C694"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08C3D70A"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5C1D41BE"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69700F2E"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0B034CE7"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18A9F0B1"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4A8387AC"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32F8B55D"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0A528F80"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1C57C565"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6E3C6764"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1E574DE8" w14:textId="77777777" w:rsidR="00CD5946" w:rsidRDefault="00CD5946"/>
    <w:p w14:paraId="16548A63" w14:textId="77777777" w:rsidR="00CD5946" w:rsidRDefault="00000000">
      <w:pPr>
        <w:pStyle w:val="Heading1"/>
      </w:pPr>
      <w:bookmarkStart w:id="248" w:name="__RefHeading___Toc9653_1729075678"/>
      <w:bookmarkEnd w:id="248"/>
      <w:r>
        <w:t xml:space="preserve">Arab Annex A-CR — Cleanroom Classification and Qualification  ·  </w:t>
      </w:r>
      <w:r>
        <w:rPr>
          <w:rtl/>
        </w:rPr>
        <w:t>الملحق العربي</w:t>
      </w:r>
      <w:r>
        <w:t xml:space="preserve"> A-CR — </w:t>
      </w:r>
      <w:r>
        <w:rPr>
          <w:rtl/>
        </w:rPr>
        <w:t>تصنيف وتأهيل الغرف النظيفة</w:t>
      </w:r>
    </w:p>
    <w:p w14:paraId="444DA7EB" w14:textId="77777777" w:rsidR="00CD5946" w:rsidRDefault="00000000">
      <w:pPr>
        <w:spacing w:before="10" w:after="150"/>
      </w:pPr>
      <w:r>
        <w:rPr>
          <w:rFonts w:ascii="Arial" w:eastAsia="Arial" w:hAnsi="Arial"/>
          <w:b/>
          <w:bCs/>
          <w:color w:val="C8A24B"/>
          <w:sz w:val="17"/>
          <w:szCs w:val="17"/>
        </w:rPr>
        <w:t xml:space="preserve">Harmonised with: </w:t>
      </w:r>
      <w:r>
        <w:rPr>
          <w:rFonts w:ascii="Arial" w:eastAsia="Arial" w:hAnsi="Arial"/>
          <w:i/>
          <w:iCs/>
          <w:color w:val="5A5A5A"/>
          <w:sz w:val="17"/>
          <w:szCs w:val="17"/>
        </w:rPr>
        <w:t>ISO 14644-1/-2:2015 · EU GMP Annex 1 (2022) · PIC/S PE 009-17 · WHO TRS 1044 Annex 2 · SFDA v4.4 · read together with Annex 1</w:t>
      </w:r>
    </w:p>
    <w:p w14:paraId="722FC5CC" w14:textId="77777777" w:rsidR="00CD5946" w:rsidRDefault="00000000">
      <w:pPr>
        <w:pBdr>
          <w:left w:val="single" w:sz="16" w:space="8" w:color="C8A24B"/>
        </w:pBdr>
        <w:spacing w:after="40"/>
        <w:ind w:left="160"/>
      </w:pPr>
      <w:r>
        <w:rPr>
          <w:rFonts w:ascii="Arial" w:eastAsia="Arial" w:hAnsi="Arial"/>
          <w:b/>
          <w:bCs/>
          <w:color w:val="C8A24B"/>
        </w:rPr>
        <w:t xml:space="preserve">Principle.  </w:t>
      </w:r>
      <w:r>
        <w:rPr>
          <w:rFonts w:ascii="Arial" w:eastAsia="Arial" w:hAnsi="Arial"/>
          <w:color w:val="1A1A1A"/>
        </w:rPr>
        <w:t>Cleanrooms and clean-air devices are classified according to the airborne-particle concentration and qualified for a defined cleanliness state. This Annex consolidates the classification and qualification framework referenced in Annex 1, providing a single reference for grades, occupancy states and qualification tests. The classification of a room (the particle-count test under ISO 14644-1) is distinct from the routine environmental monitoring used to assess the in-operation state.</w:t>
      </w:r>
    </w:p>
    <w:p w14:paraId="2DC424BD" w14:textId="77777777" w:rsidR="00CD5946" w:rsidRDefault="00000000">
      <w:pPr>
        <w:bidi/>
        <w:spacing w:after="150"/>
        <w:ind w:right="160"/>
        <w:jc w:val="right"/>
      </w:pPr>
      <w:r>
        <w:rPr>
          <w:rFonts w:ascii="Arial" w:eastAsia="Arial" w:hAnsi="Arial"/>
          <w:b/>
          <w:bCs/>
          <w:color w:val="C8A24B"/>
          <w:sz w:val="20"/>
          <w:szCs w:val="20"/>
          <w:rtl/>
        </w:rPr>
        <w:t xml:space="preserve">المبدأ. </w:t>
      </w:r>
      <w:r>
        <w:rPr>
          <w:rFonts w:ascii="Arial" w:eastAsia="Arial" w:hAnsi="Arial"/>
          <w:color w:val="333333"/>
          <w:sz w:val="20"/>
          <w:szCs w:val="20"/>
          <w:rtl/>
        </w:rPr>
        <w:t>تُصنّف الغرف النظيفة وأجهزة الهواء النظيف وفق تركيز الجسيمات وتُؤهّل لحالة نظافة محدّدة. ويجمع هذا الملحق إطار التصنيف والتأهيل المُشار إليه في الملحق ⁦</w:t>
      </w:r>
      <w:r>
        <w:rPr>
          <w:rFonts w:ascii="Arial" w:eastAsia="Arial" w:hAnsi="Arial"/>
          <w:color w:val="333333"/>
          <w:sz w:val="20"/>
          <w:szCs w:val="20"/>
        </w:rPr>
        <w:t>1</w:t>
      </w:r>
      <w:r>
        <w:rPr>
          <w:rFonts w:ascii="Arial" w:eastAsia="Arial" w:hAnsi="Arial"/>
          <w:color w:val="333333"/>
          <w:sz w:val="20"/>
          <w:szCs w:val="20"/>
          <w:rtl/>
        </w:rPr>
        <w:t xml:space="preserve">⁩، كمرجع واحد للدرجات وحالات الإشغال واختبارات التأهيل. وتصنيف الغرفة (عدّ الجسيمات وفق </w:t>
      </w:r>
      <w:r>
        <w:rPr>
          <w:rFonts w:ascii="Arial" w:eastAsia="Arial" w:hAnsi="Arial"/>
          <w:color w:val="333333"/>
          <w:sz w:val="20"/>
          <w:szCs w:val="20"/>
        </w:rPr>
        <w:t>ISO</w:t>
      </w:r>
      <w:r>
        <w:rPr>
          <w:rFonts w:ascii="Arial" w:eastAsia="Arial" w:hAnsi="Arial"/>
          <w:color w:val="333333"/>
          <w:sz w:val="20"/>
          <w:szCs w:val="20"/>
          <w:rtl/>
        </w:rPr>
        <w:t xml:space="preserve"> ⁦</w:t>
      </w:r>
      <w:r>
        <w:rPr>
          <w:rFonts w:ascii="Arial" w:eastAsia="Arial" w:hAnsi="Arial"/>
          <w:color w:val="333333"/>
          <w:sz w:val="20"/>
          <w:szCs w:val="20"/>
        </w:rPr>
        <w:t>14644-1</w:t>
      </w:r>
      <w:r>
        <w:rPr>
          <w:rFonts w:ascii="Arial" w:eastAsia="Arial" w:hAnsi="Arial"/>
          <w:color w:val="333333"/>
          <w:sz w:val="20"/>
          <w:szCs w:val="20"/>
          <w:rtl/>
        </w:rPr>
        <w:t>⁩) متميّز عن المراقبة البيئية الروتينية.</w:t>
      </w:r>
    </w:p>
    <w:p w14:paraId="58C2236D" w14:textId="77777777" w:rsidR="00CD5946" w:rsidRDefault="00000000">
      <w:pPr>
        <w:pBdr>
          <w:left w:val="single" w:sz="10" w:space="8" w:color="CFCFCF"/>
        </w:pBdr>
        <w:spacing w:before="60" w:after="30"/>
        <w:ind w:left="160"/>
      </w:pPr>
      <w:r>
        <w:rPr>
          <w:rFonts w:ascii="Arial" w:eastAsia="Arial" w:hAnsi="Arial"/>
          <w:b/>
          <w:bCs/>
          <w:color w:val="15512F"/>
          <w:sz w:val="20"/>
          <w:szCs w:val="20"/>
        </w:rPr>
        <w:t xml:space="preserve">Scope.  </w:t>
      </w:r>
      <w:r>
        <w:rPr>
          <w:rFonts w:ascii="Arial" w:eastAsia="Arial" w:hAnsi="Arial"/>
          <w:color w:val="1A1A1A"/>
          <w:sz w:val="20"/>
          <w:szCs w:val="20"/>
        </w:rPr>
        <w:t>This Annex provides the cleanroom grades, the airborne-particle limits and the qualification tests referenced across the guideline (principally Annex 1).</w:t>
      </w:r>
    </w:p>
    <w:p w14:paraId="2AD5F25A" w14:textId="77777777" w:rsidR="00CD5946" w:rsidRDefault="00000000">
      <w:pPr>
        <w:bidi/>
        <w:spacing w:after="150"/>
        <w:ind w:right="160"/>
        <w:jc w:val="right"/>
      </w:pPr>
      <w:r>
        <w:rPr>
          <w:rFonts w:ascii="Arial" w:eastAsia="Arial" w:hAnsi="Arial"/>
          <w:b/>
          <w:bCs/>
          <w:color w:val="15512F"/>
          <w:sz w:val="20"/>
          <w:szCs w:val="20"/>
          <w:rtl/>
        </w:rPr>
        <w:t xml:space="preserve">النطاق. </w:t>
      </w:r>
      <w:r>
        <w:rPr>
          <w:rFonts w:ascii="Arial" w:eastAsia="Arial" w:hAnsi="Arial"/>
          <w:color w:val="333333"/>
          <w:sz w:val="20"/>
          <w:szCs w:val="20"/>
          <w:rtl/>
        </w:rPr>
        <w:t>يوفّر درجات الغرف النظيفة وحدود الجسيمات واختبارات التأهيل المُشار إليها (ولا سيّما الملحق ⁦</w:t>
      </w:r>
      <w:r>
        <w:rPr>
          <w:rFonts w:ascii="Arial" w:eastAsia="Arial" w:hAnsi="Arial"/>
          <w:color w:val="333333"/>
          <w:sz w:val="20"/>
          <w:szCs w:val="20"/>
        </w:rPr>
        <w:t>1</w:t>
      </w:r>
      <w:r>
        <w:rPr>
          <w:rFonts w:ascii="Arial" w:eastAsia="Arial" w:hAnsi="Arial"/>
          <w:color w:val="333333"/>
          <w:sz w:val="20"/>
          <w:szCs w:val="20"/>
          <w:rtl/>
        </w:rPr>
        <w:t>⁩).</w:t>
      </w:r>
    </w:p>
    <w:p w14:paraId="6CBF33CB" w14:textId="77777777" w:rsidR="00CD5946" w:rsidRDefault="00000000">
      <w:pPr>
        <w:pStyle w:val="Heading2"/>
        <w:spacing w:before="220"/>
      </w:pPr>
      <w:bookmarkStart w:id="249" w:name="__RefHeading___Toc9655_1729075678"/>
      <w:bookmarkEnd w:id="249"/>
      <w:r>
        <w:t>1.  Grades and particle limits</w:t>
      </w:r>
      <w:r>
        <w:rPr>
          <w:b w:val="0"/>
          <w:bCs w:val="0"/>
          <w:color w:val="1A1A1A"/>
          <w:sz w:val="21"/>
          <w:szCs w:val="21"/>
        </w:rPr>
        <w:t xml:space="preserve">   </w:t>
      </w:r>
      <w:r>
        <w:rPr>
          <w:color w:val="C8A24B"/>
          <w:sz w:val="20"/>
          <w:szCs w:val="20"/>
          <w:rtl/>
        </w:rPr>
        <w:t>الدرجات وحدود الجسيمات</w:t>
      </w:r>
    </w:p>
    <w:p w14:paraId="7E32EF6C" w14:textId="77777777" w:rsidR="00CD5946" w:rsidRDefault="00000000">
      <w:pPr>
        <w:spacing w:after="40"/>
      </w:pPr>
      <w:r>
        <w:rPr>
          <w:rFonts w:ascii="Arial" w:eastAsia="Arial" w:hAnsi="Arial"/>
          <w:b/>
          <w:bCs/>
          <w:color w:val="15512F"/>
          <w:sz w:val="18"/>
          <w:szCs w:val="18"/>
        </w:rPr>
        <w:t xml:space="preserve">Table A-CR 1 — Maximum permitted total particle concentration for classification (per m³) (Annex 1 2022, Table 1) · </w:t>
      </w:r>
      <w:r>
        <w:rPr>
          <w:rFonts w:ascii="Arial" w:eastAsia="Arial" w:hAnsi="Arial"/>
          <w:b/>
          <w:bCs/>
          <w:color w:val="15512F"/>
          <w:sz w:val="18"/>
          <w:szCs w:val="18"/>
          <w:rtl/>
        </w:rPr>
        <w:t>جدول</w:t>
      </w:r>
      <w:r>
        <w:rPr>
          <w:rFonts w:ascii="Arial" w:eastAsia="Arial" w:hAnsi="Arial"/>
          <w:b/>
          <w:bCs/>
          <w:color w:val="15512F"/>
          <w:sz w:val="18"/>
          <w:szCs w:val="18"/>
        </w:rPr>
        <w:t xml:space="preserve"> A-CR 1</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1500"/>
        <w:gridCol w:w="2620"/>
        <w:gridCol w:w="2620"/>
        <w:gridCol w:w="2620"/>
      </w:tblGrid>
      <w:tr w:rsidR="00CD5946" w14:paraId="2D13D3DE" w14:textId="77777777">
        <w:trPr>
          <w:tblHeader/>
        </w:trPr>
        <w:tc>
          <w:tcPr>
            <w:tcW w:w="1500" w:type="dxa"/>
            <w:tcBorders>
              <w:top w:val="single" w:sz="2" w:space="0" w:color="BFC9C0"/>
              <w:left w:val="single" w:sz="2" w:space="0" w:color="BFC9C0"/>
              <w:bottom w:val="single" w:sz="2" w:space="0" w:color="BFC9C0"/>
              <w:right w:val="single" w:sz="2" w:space="0" w:color="BFC9C0"/>
            </w:tcBorders>
            <w:shd w:val="clear" w:color="auto" w:fill="0E5A50"/>
          </w:tcPr>
          <w:p w14:paraId="03180C08" w14:textId="77777777" w:rsidR="00CD5946" w:rsidRDefault="00000000">
            <w:pPr>
              <w:spacing w:after="0"/>
            </w:pPr>
            <w:r>
              <w:rPr>
                <w:rFonts w:ascii="Arial" w:eastAsia="Arial" w:hAnsi="Arial"/>
                <w:b/>
                <w:bCs/>
                <w:color w:val="FFFFFF"/>
                <w:sz w:val="18"/>
                <w:szCs w:val="18"/>
              </w:rPr>
              <w:t>Grade</w:t>
            </w:r>
          </w:p>
        </w:tc>
        <w:tc>
          <w:tcPr>
            <w:tcW w:w="2620" w:type="dxa"/>
            <w:tcBorders>
              <w:top w:val="single" w:sz="2" w:space="0" w:color="BFC9C0"/>
              <w:left w:val="single" w:sz="2" w:space="0" w:color="BFC9C0"/>
              <w:bottom w:val="single" w:sz="2" w:space="0" w:color="BFC9C0"/>
              <w:right w:val="single" w:sz="2" w:space="0" w:color="BFC9C0"/>
            </w:tcBorders>
            <w:shd w:val="clear" w:color="auto" w:fill="0E5A50"/>
          </w:tcPr>
          <w:p w14:paraId="4C9243E1" w14:textId="77777777" w:rsidR="00CD5946" w:rsidRDefault="00000000">
            <w:pPr>
              <w:spacing w:after="0"/>
            </w:pPr>
            <w:r>
              <w:rPr>
                <w:rFonts w:ascii="Arial" w:eastAsia="Arial" w:hAnsi="Arial"/>
                <w:b/>
                <w:bCs/>
                <w:color w:val="FFFFFF"/>
                <w:sz w:val="18"/>
                <w:szCs w:val="18"/>
              </w:rPr>
              <w:t>≥ 0.5 µm at rest</w:t>
            </w:r>
          </w:p>
        </w:tc>
        <w:tc>
          <w:tcPr>
            <w:tcW w:w="2620" w:type="dxa"/>
            <w:tcBorders>
              <w:top w:val="single" w:sz="2" w:space="0" w:color="BFC9C0"/>
              <w:left w:val="single" w:sz="2" w:space="0" w:color="BFC9C0"/>
              <w:bottom w:val="single" w:sz="2" w:space="0" w:color="BFC9C0"/>
              <w:right w:val="single" w:sz="2" w:space="0" w:color="BFC9C0"/>
            </w:tcBorders>
            <w:shd w:val="clear" w:color="auto" w:fill="0E5A50"/>
          </w:tcPr>
          <w:p w14:paraId="2242F8B1" w14:textId="77777777" w:rsidR="00CD5946" w:rsidRDefault="00000000">
            <w:pPr>
              <w:spacing w:after="0"/>
            </w:pPr>
            <w:r>
              <w:rPr>
                <w:rFonts w:ascii="Arial" w:eastAsia="Arial" w:hAnsi="Arial"/>
                <w:b/>
                <w:bCs/>
                <w:color w:val="FFFFFF"/>
                <w:sz w:val="18"/>
                <w:szCs w:val="18"/>
              </w:rPr>
              <w:t>≥ 0.5 µm in operation</w:t>
            </w:r>
          </w:p>
        </w:tc>
        <w:tc>
          <w:tcPr>
            <w:tcW w:w="2620" w:type="dxa"/>
            <w:tcBorders>
              <w:top w:val="single" w:sz="2" w:space="0" w:color="BFC9C0"/>
              <w:left w:val="single" w:sz="2" w:space="0" w:color="BFC9C0"/>
              <w:bottom w:val="single" w:sz="2" w:space="0" w:color="BFC9C0"/>
              <w:right w:val="single" w:sz="2" w:space="0" w:color="BFC9C0"/>
            </w:tcBorders>
            <w:shd w:val="clear" w:color="auto" w:fill="0E5A50"/>
          </w:tcPr>
          <w:p w14:paraId="7E4B62A2" w14:textId="77777777" w:rsidR="00CD5946" w:rsidRDefault="00000000">
            <w:pPr>
              <w:spacing w:after="0"/>
            </w:pPr>
            <w:r>
              <w:rPr>
                <w:rFonts w:ascii="Arial" w:eastAsia="Arial" w:hAnsi="Arial"/>
                <w:b/>
                <w:bCs/>
                <w:color w:val="FFFFFF"/>
                <w:sz w:val="18"/>
                <w:szCs w:val="18"/>
              </w:rPr>
              <w:t>≥ 5 µm</w:t>
            </w:r>
          </w:p>
        </w:tc>
      </w:tr>
      <w:tr w:rsidR="00CD5946" w14:paraId="546D4295" w14:textId="77777777">
        <w:tc>
          <w:tcPr>
            <w:tcW w:w="1500" w:type="dxa"/>
            <w:tcBorders>
              <w:top w:val="single" w:sz="2" w:space="0" w:color="BFC9C0"/>
              <w:left w:val="single" w:sz="2" w:space="0" w:color="BFC9C0"/>
              <w:bottom w:val="single" w:sz="2" w:space="0" w:color="BFC9C0"/>
              <w:right w:val="single" w:sz="2" w:space="0" w:color="BFC9C0"/>
            </w:tcBorders>
            <w:shd w:val="clear" w:color="auto" w:fill="FFFFFF"/>
          </w:tcPr>
          <w:p w14:paraId="6CB3BE97" w14:textId="77777777" w:rsidR="00CD5946" w:rsidRDefault="00000000">
            <w:pPr>
              <w:spacing w:after="0"/>
            </w:pPr>
            <w:r>
              <w:rPr>
                <w:rFonts w:ascii="Arial" w:eastAsia="Arial" w:hAnsi="Arial"/>
                <w:color w:val="1A1A1A"/>
                <w:sz w:val="18"/>
                <w:szCs w:val="18"/>
              </w:rPr>
              <w:t>A</w:t>
            </w:r>
          </w:p>
        </w:tc>
        <w:tc>
          <w:tcPr>
            <w:tcW w:w="2620" w:type="dxa"/>
            <w:tcBorders>
              <w:top w:val="single" w:sz="2" w:space="0" w:color="BFC9C0"/>
              <w:left w:val="single" w:sz="2" w:space="0" w:color="BFC9C0"/>
              <w:bottom w:val="single" w:sz="2" w:space="0" w:color="BFC9C0"/>
              <w:right w:val="single" w:sz="2" w:space="0" w:color="BFC9C0"/>
            </w:tcBorders>
            <w:shd w:val="clear" w:color="auto" w:fill="FFFFFF"/>
          </w:tcPr>
          <w:p w14:paraId="46A3A9FB" w14:textId="77777777" w:rsidR="00CD5946" w:rsidRDefault="00000000">
            <w:pPr>
              <w:spacing w:after="0"/>
            </w:pPr>
            <w:r>
              <w:rPr>
                <w:rFonts w:ascii="Arial" w:eastAsia="Arial" w:hAnsi="Arial"/>
                <w:color w:val="1A1A1A"/>
                <w:sz w:val="18"/>
                <w:szCs w:val="18"/>
              </w:rPr>
              <w:t>3 520</w:t>
            </w:r>
          </w:p>
        </w:tc>
        <w:tc>
          <w:tcPr>
            <w:tcW w:w="2620" w:type="dxa"/>
            <w:tcBorders>
              <w:top w:val="single" w:sz="2" w:space="0" w:color="BFC9C0"/>
              <w:left w:val="single" w:sz="2" w:space="0" w:color="BFC9C0"/>
              <w:bottom w:val="single" w:sz="2" w:space="0" w:color="BFC9C0"/>
              <w:right w:val="single" w:sz="2" w:space="0" w:color="BFC9C0"/>
            </w:tcBorders>
            <w:shd w:val="clear" w:color="auto" w:fill="FFFFFF"/>
          </w:tcPr>
          <w:p w14:paraId="0FBCD73B" w14:textId="77777777" w:rsidR="00CD5946" w:rsidRDefault="00000000">
            <w:pPr>
              <w:spacing w:after="0"/>
            </w:pPr>
            <w:r>
              <w:rPr>
                <w:rFonts w:ascii="Arial" w:eastAsia="Arial" w:hAnsi="Arial"/>
                <w:color w:val="1A1A1A"/>
                <w:sz w:val="18"/>
                <w:szCs w:val="18"/>
              </w:rPr>
              <w:t>3 520</w:t>
            </w:r>
          </w:p>
        </w:tc>
        <w:tc>
          <w:tcPr>
            <w:tcW w:w="2620" w:type="dxa"/>
            <w:tcBorders>
              <w:top w:val="single" w:sz="2" w:space="0" w:color="BFC9C0"/>
              <w:left w:val="single" w:sz="2" w:space="0" w:color="BFC9C0"/>
              <w:bottom w:val="single" w:sz="2" w:space="0" w:color="BFC9C0"/>
              <w:right w:val="single" w:sz="2" w:space="0" w:color="BFC9C0"/>
            </w:tcBorders>
            <w:shd w:val="clear" w:color="auto" w:fill="FFFFFF"/>
          </w:tcPr>
          <w:p w14:paraId="5A99AC21" w14:textId="77777777" w:rsidR="00CD5946" w:rsidRDefault="00000000">
            <w:pPr>
              <w:spacing w:after="0"/>
            </w:pPr>
            <w:r>
              <w:rPr>
                <w:rFonts w:ascii="Arial" w:eastAsia="Arial" w:hAnsi="Arial"/>
                <w:color w:val="1A1A1A"/>
                <w:sz w:val="18"/>
                <w:szCs w:val="18"/>
              </w:rPr>
              <w:t>not specified (a)</w:t>
            </w:r>
          </w:p>
        </w:tc>
      </w:tr>
      <w:tr w:rsidR="00CD5946" w14:paraId="0FAF42B7" w14:textId="77777777">
        <w:tc>
          <w:tcPr>
            <w:tcW w:w="1500" w:type="dxa"/>
            <w:tcBorders>
              <w:top w:val="single" w:sz="2" w:space="0" w:color="BFC9C0"/>
              <w:left w:val="single" w:sz="2" w:space="0" w:color="BFC9C0"/>
              <w:bottom w:val="single" w:sz="2" w:space="0" w:color="BFC9C0"/>
              <w:right w:val="single" w:sz="2" w:space="0" w:color="BFC9C0"/>
            </w:tcBorders>
            <w:shd w:val="clear" w:color="auto" w:fill="EEF3F1"/>
          </w:tcPr>
          <w:p w14:paraId="7EA02ABD" w14:textId="77777777" w:rsidR="00CD5946" w:rsidRDefault="00000000">
            <w:pPr>
              <w:spacing w:after="0"/>
            </w:pPr>
            <w:r>
              <w:rPr>
                <w:rFonts w:ascii="Arial" w:eastAsia="Arial" w:hAnsi="Arial"/>
                <w:color w:val="1A1A1A"/>
                <w:sz w:val="18"/>
                <w:szCs w:val="18"/>
              </w:rPr>
              <w:t>B</w:t>
            </w:r>
          </w:p>
        </w:tc>
        <w:tc>
          <w:tcPr>
            <w:tcW w:w="2620" w:type="dxa"/>
            <w:tcBorders>
              <w:top w:val="single" w:sz="2" w:space="0" w:color="BFC9C0"/>
              <w:left w:val="single" w:sz="2" w:space="0" w:color="BFC9C0"/>
              <w:bottom w:val="single" w:sz="2" w:space="0" w:color="BFC9C0"/>
              <w:right w:val="single" w:sz="2" w:space="0" w:color="BFC9C0"/>
            </w:tcBorders>
            <w:shd w:val="clear" w:color="auto" w:fill="EEF3F1"/>
          </w:tcPr>
          <w:p w14:paraId="619481FB" w14:textId="77777777" w:rsidR="00CD5946" w:rsidRDefault="00000000">
            <w:pPr>
              <w:spacing w:after="0"/>
            </w:pPr>
            <w:r>
              <w:rPr>
                <w:rFonts w:ascii="Arial" w:eastAsia="Arial" w:hAnsi="Arial"/>
                <w:color w:val="1A1A1A"/>
                <w:sz w:val="18"/>
                <w:szCs w:val="18"/>
              </w:rPr>
              <w:t>3 520</w:t>
            </w:r>
          </w:p>
        </w:tc>
        <w:tc>
          <w:tcPr>
            <w:tcW w:w="2620" w:type="dxa"/>
            <w:tcBorders>
              <w:top w:val="single" w:sz="2" w:space="0" w:color="BFC9C0"/>
              <w:left w:val="single" w:sz="2" w:space="0" w:color="BFC9C0"/>
              <w:bottom w:val="single" w:sz="2" w:space="0" w:color="BFC9C0"/>
              <w:right w:val="single" w:sz="2" w:space="0" w:color="BFC9C0"/>
            </w:tcBorders>
            <w:shd w:val="clear" w:color="auto" w:fill="EEF3F1"/>
          </w:tcPr>
          <w:p w14:paraId="194B54A0" w14:textId="77777777" w:rsidR="00CD5946" w:rsidRDefault="00000000">
            <w:pPr>
              <w:spacing w:after="0"/>
            </w:pPr>
            <w:r>
              <w:rPr>
                <w:rFonts w:ascii="Arial" w:eastAsia="Arial" w:hAnsi="Arial"/>
                <w:color w:val="1A1A1A"/>
                <w:sz w:val="18"/>
                <w:szCs w:val="18"/>
              </w:rPr>
              <w:t>352 000</w:t>
            </w:r>
          </w:p>
        </w:tc>
        <w:tc>
          <w:tcPr>
            <w:tcW w:w="2620" w:type="dxa"/>
            <w:tcBorders>
              <w:top w:val="single" w:sz="2" w:space="0" w:color="BFC9C0"/>
              <w:left w:val="single" w:sz="2" w:space="0" w:color="BFC9C0"/>
              <w:bottom w:val="single" w:sz="2" w:space="0" w:color="BFC9C0"/>
              <w:right w:val="single" w:sz="2" w:space="0" w:color="BFC9C0"/>
            </w:tcBorders>
            <w:shd w:val="clear" w:color="auto" w:fill="EEF3F1"/>
          </w:tcPr>
          <w:p w14:paraId="79FA3AD0" w14:textId="77777777" w:rsidR="00CD5946" w:rsidRDefault="00000000">
            <w:pPr>
              <w:spacing w:after="0"/>
            </w:pPr>
            <w:r>
              <w:rPr>
                <w:rFonts w:ascii="Arial" w:eastAsia="Arial" w:hAnsi="Arial"/>
                <w:color w:val="1A1A1A"/>
                <w:sz w:val="18"/>
                <w:szCs w:val="18"/>
              </w:rPr>
              <w:t>at rest: not specified (a) ; in op ≤ 2 930</w:t>
            </w:r>
          </w:p>
        </w:tc>
      </w:tr>
      <w:tr w:rsidR="00CD5946" w14:paraId="042A2ACE" w14:textId="77777777">
        <w:tc>
          <w:tcPr>
            <w:tcW w:w="1500" w:type="dxa"/>
            <w:tcBorders>
              <w:top w:val="single" w:sz="2" w:space="0" w:color="BFC9C0"/>
              <w:left w:val="single" w:sz="2" w:space="0" w:color="BFC9C0"/>
              <w:bottom w:val="single" w:sz="2" w:space="0" w:color="BFC9C0"/>
              <w:right w:val="single" w:sz="2" w:space="0" w:color="BFC9C0"/>
            </w:tcBorders>
            <w:shd w:val="clear" w:color="auto" w:fill="FFFFFF"/>
          </w:tcPr>
          <w:p w14:paraId="519F116A" w14:textId="77777777" w:rsidR="00CD5946" w:rsidRDefault="00000000">
            <w:pPr>
              <w:spacing w:after="0"/>
            </w:pPr>
            <w:r>
              <w:rPr>
                <w:rFonts w:ascii="Arial" w:eastAsia="Arial" w:hAnsi="Arial"/>
                <w:color w:val="1A1A1A"/>
                <w:sz w:val="18"/>
                <w:szCs w:val="18"/>
              </w:rPr>
              <w:t>C</w:t>
            </w:r>
          </w:p>
        </w:tc>
        <w:tc>
          <w:tcPr>
            <w:tcW w:w="2620" w:type="dxa"/>
            <w:tcBorders>
              <w:top w:val="single" w:sz="2" w:space="0" w:color="BFC9C0"/>
              <w:left w:val="single" w:sz="2" w:space="0" w:color="BFC9C0"/>
              <w:bottom w:val="single" w:sz="2" w:space="0" w:color="BFC9C0"/>
              <w:right w:val="single" w:sz="2" w:space="0" w:color="BFC9C0"/>
            </w:tcBorders>
            <w:shd w:val="clear" w:color="auto" w:fill="FFFFFF"/>
          </w:tcPr>
          <w:p w14:paraId="5E6BEC6B" w14:textId="77777777" w:rsidR="00CD5946" w:rsidRDefault="00000000">
            <w:pPr>
              <w:spacing w:after="0"/>
            </w:pPr>
            <w:r>
              <w:rPr>
                <w:rFonts w:ascii="Arial" w:eastAsia="Arial" w:hAnsi="Arial"/>
                <w:color w:val="1A1A1A"/>
                <w:sz w:val="18"/>
                <w:szCs w:val="18"/>
              </w:rPr>
              <w:t>352 000</w:t>
            </w:r>
          </w:p>
        </w:tc>
        <w:tc>
          <w:tcPr>
            <w:tcW w:w="2620" w:type="dxa"/>
            <w:tcBorders>
              <w:top w:val="single" w:sz="2" w:space="0" w:color="BFC9C0"/>
              <w:left w:val="single" w:sz="2" w:space="0" w:color="BFC9C0"/>
              <w:bottom w:val="single" w:sz="2" w:space="0" w:color="BFC9C0"/>
              <w:right w:val="single" w:sz="2" w:space="0" w:color="BFC9C0"/>
            </w:tcBorders>
            <w:shd w:val="clear" w:color="auto" w:fill="FFFFFF"/>
          </w:tcPr>
          <w:p w14:paraId="6D59A7B3" w14:textId="77777777" w:rsidR="00CD5946" w:rsidRDefault="00000000">
            <w:pPr>
              <w:spacing w:after="0"/>
            </w:pPr>
            <w:r>
              <w:rPr>
                <w:rFonts w:ascii="Arial" w:eastAsia="Arial" w:hAnsi="Arial"/>
                <w:color w:val="1A1A1A"/>
                <w:sz w:val="18"/>
                <w:szCs w:val="18"/>
              </w:rPr>
              <w:t>3 520 000</w:t>
            </w:r>
          </w:p>
        </w:tc>
        <w:tc>
          <w:tcPr>
            <w:tcW w:w="2620" w:type="dxa"/>
            <w:tcBorders>
              <w:top w:val="single" w:sz="2" w:space="0" w:color="BFC9C0"/>
              <w:left w:val="single" w:sz="2" w:space="0" w:color="BFC9C0"/>
              <w:bottom w:val="single" w:sz="2" w:space="0" w:color="BFC9C0"/>
              <w:right w:val="single" w:sz="2" w:space="0" w:color="BFC9C0"/>
            </w:tcBorders>
            <w:shd w:val="clear" w:color="auto" w:fill="FFFFFF"/>
          </w:tcPr>
          <w:p w14:paraId="23836E46" w14:textId="77777777" w:rsidR="00CD5946" w:rsidRDefault="00000000">
            <w:pPr>
              <w:spacing w:after="0"/>
            </w:pPr>
            <w:r>
              <w:rPr>
                <w:rFonts w:ascii="Arial" w:eastAsia="Arial" w:hAnsi="Arial"/>
                <w:color w:val="1A1A1A"/>
                <w:sz w:val="18"/>
                <w:szCs w:val="18"/>
              </w:rPr>
              <w:t>at rest ≤ 2 930 ; in op ≤ 29 300</w:t>
            </w:r>
          </w:p>
        </w:tc>
      </w:tr>
      <w:tr w:rsidR="00CD5946" w14:paraId="3B69F0FF" w14:textId="77777777">
        <w:tc>
          <w:tcPr>
            <w:tcW w:w="1500" w:type="dxa"/>
            <w:tcBorders>
              <w:top w:val="single" w:sz="2" w:space="0" w:color="BFC9C0"/>
              <w:left w:val="single" w:sz="2" w:space="0" w:color="BFC9C0"/>
              <w:bottom w:val="single" w:sz="2" w:space="0" w:color="BFC9C0"/>
              <w:right w:val="single" w:sz="2" w:space="0" w:color="BFC9C0"/>
            </w:tcBorders>
            <w:shd w:val="clear" w:color="auto" w:fill="EEF3F1"/>
          </w:tcPr>
          <w:p w14:paraId="60B8DD3A" w14:textId="77777777" w:rsidR="00CD5946" w:rsidRDefault="00000000">
            <w:pPr>
              <w:spacing w:after="0"/>
            </w:pPr>
            <w:r>
              <w:rPr>
                <w:rFonts w:ascii="Arial" w:eastAsia="Arial" w:hAnsi="Arial"/>
                <w:color w:val="1A1A1A"/>
                <w:sz w:val="18"/>
                <w:szCs w:val="18"/>
              </w:rPr>
              <w:t>D</w:t>
            </w:r>
          </w:p>
        </w:tc>
        <w:tc>
          <w:tcPr>
            <w:tcW w:w="2620" w:type="dxa"/>
            <w:tcBorders>
              <w:top w:val="single" w:sz="2" w:space="0" w:color="BFC9C0"/>
              <w:left w:val="single" w:sz="2" w:space="0" w:color="BFC9C0"/>
              <w:bottom w:val="single" w:sz="2" w:space="0" w:color="BFC9C0"/>
              <w:right w:val="single" w:sz="2" w:space="0" w:color="BFC9C0"/>
            </w:tcBorders>
            <w:shd w:val="clear" w:color="auto" w:fill="EEF3F1"/>
          </w:tcPr>
          <w:p w14:paraId="2F0BE359" w14:textId="77777777" w:rsidR="00CD5946" w:rsidRDefault="00000000">
            <w:pPr>
              <w:spacing w:after="0"/>
            </w:pPr>
            <w:r>
              <w:rPr>
                <w:rFonts w:ascii="Arial" w:eastAsia="Arial" w:hAnsi="Arial"/>
                <w:color w:val="1A1A1A"/>
                <w:sz w:val="18"/>
                <w:szCs w:val="18"/>
              </w:rPr>
              <w:t>3 520 000</w:t>
            </w:r>
          </w:p>
        </w:tc>
        <w:tc>
          <w:tcPr>
            <w:tcW w:w="2620" w:type="dxa"/>
            <w:tcBorders>
              <w:top w:val="single" w:sz="2" w:space="0" w:color="BFC9C0"/>
              <w:left w:val="single" w:sz="2" w:space="0" w:color="BFC9C0"/>
              <w:bottom w:val="single" w:sz="2" w:space="0" w:color="BFC9C0"/>
              <w:right w:val="single" w:sz="2" w:space="0" w:color="BFC9C0"/>
            </w:tcBorders>
            <w:shd w:val="clear" w:color="auto" w:fill="EEF3F1"/>
          </w:tcPr>
          <w:p w14:paraId="761D88AC" w14:textId="77777777" w:rsidR="00CD5946" w:rsidRDefault="00000000">
            <w:pPr>
              <w:spacing w:after="0"/>
            </w:pPr>
            <w:r>
              <w:rPr>
                <w:rFonts w:ascii="Arial" w:eastAsia="Arial" w:hAnsi="Arial"/>
                <w:color w:val="1A1A1A"/>
                <w:sz w:val="18"/>
                <w:szCs w:val="18"/>
              </w:rPr>
              <w:t>not predetermined</w:t>
            </w:r>
          </w:p>
        </w:tc>
        <w:tc>
          <w:tcPr>
            <w:tcW w:w="2620" w:type="dxa"/>
            <w:tcBorders>
              <w:top w:val="single" w:sz="2" w:space="0" w:color="BFC9C0"/>
              <w:left w:val="single" w:sz="2" w:space="0" w:color="BFC9C0"/>
              <w:bottom w:val="single" w:sz="2" w:space="0" w:color="BFC9C0"/>
              <w:right w:val="single" w:sz="2" w:space="0" w:color="BFC9C0"/>
            </w:tcBorders>
            <w:shd w:val="clear" w:color="auto" w:fill="EEF3F1"/>
          </w:tcPr>
          <w:p w14:paraId="6611294A" w14:textId="77777777" w:rsidR="00CD5946" w:rsidRDefault="00000000">
            <w:pPr>
              <w:spacing w:after="0"/>
            </w:pPr>
            <w:r>
              <w:rPr>
                <w:rFonts w:ascii="Arial" w:eastAsia="Arial" w:hAnsi="Arial"/>
                <w:color w:val="1A1A1A"/>
                <w:sz w:val="18"/>
                <w:szCs w:val="18"/>
              </w:rPr>
              <w:t>at rest ≤ 29 300 ; in op: not predetermined (b)</w:t>
            </w:r>
          </w:p>
        </w:tc>
      </w:tr>
    </w:tbl>
    <w:p w14:paraId="6A4F3CCD" w14:textId="77777777" w:rsidR="00CD5946" w:rsidRDefault="00000000">
      <w:pPr>
        <w:spacing w:after="40" w:line="266" w:lineRule="auto"/>
        <w:ind w:left="300" w:hanging="300"/>
      </w:pPr>
      <w:r>
        <w:rPr>
          <w:rFonts w:ascii="Arial" w:eastAsia="Arial" w:hAnsi="Arial"/>
          <w:b/>
          <w:bCs/>
          <w:color w:val="15512F"/>
        </w:rPr>
        <w:lastRenderedPageBreak/>
        <w:t xml:space="preserve">CR.1  </w:t>
      </w:r>
      <w:r>
        <w:rPr>
          <w:rFonts w:ascii="Arial" w:eastAsia="Arial" w:hAnsi="Arial"/>
          <w:color w:val="1A1A1A"/>
        </w:rPr>
        <w:t>Cleanrooms shall be qualified in the as-built, at-rest and in-operation states, and re-qualified at justified intervals (commonly 6 months for Grades A/B and 12 months for Grades C/D) and after significant change. Qualification shall include installed-filter (HEPA) integrity (leak) testing, airflow visualisation (smoke) studies, air-velocity and air-change-rate measurement, pressure-difference verification, and recovery testing; for Grade A unidirectional airflow, the absence of ingress to the critical zone shall be demonstrated.</w:t>
      </w:r>
    </w:p>
    <w:p w14:paraId="7CDC8053" w14:textId="77777777" w:rsidR="00CD5946" w:rsidRDefault="00000000">
      <w:pPr>
        <w:bidi/>
        <w:spacing w:after="150" w:line="300" w:lineRule="auto"/>
        <w:ind w:right="300" w:hanging="300"/>
        <w:jc w:val="right"/>
      </w:pPr>
      <w:r>
        <w:rPr>
          <w:rFonts w:ascii="Arial" w:eastAsia="Arial" w:hAnsi="Arial"/>
          <w:color w:val="333333"/>
          <w:sz w:val="20"/>
          <w:szCs w:val="20"/>
          <w:rtl/>
        </w:rPr>
        <w:t>تُؤهّل الغرف في حالات "كما شُيّدت" و"في السكون" و"أثناء التشغيل"، وتُعاد على فترات مُبرّرة (⁦</w:t>
      </w:r>
      <w:r>
        <w:rPr>
          <w:rFonts w:ascii="Arial" w:eastAsia="Arial" w:hAnsi="Arial"/>
          <w:color w:val="333333"/>
          <w:sz w:val="20"/>
          <w:szCs w:val="20"/>
        </w:rPr>
        <w:t>6</w:t>
      </w:r>
      <w:r>
        <w:rPr>
          <w:rFonts w:ascii="Arial" w:eastAsia="Arial" w:hAnsi="Arial"/>
          <w:color w:val="333333"/>
          <w:sz w:val="20"/>
          <w:szCs w:val="20"/>
          <w:rtl/>
        </w:rPr>
        <w:t xml:space="preserve">⁩ أشهر لـ </w:t>
      </w:r>
      <w:r>
        <w:rPr>
          <w:rFonts w:ascii="Arial" w:eastAsia="Arial" w:hAnsi="Arial"/>
          <w:color w:val="333333"/>
          <w:sz w:val="20"/>
          <w:szCs w:val="20"/>
        </w:rPr>
        <w:t>A/B</w:t>
      </w:r>
      <w:r>
        <w:rPr>
          <w:rFonts w:ascii="Arial" w:eastAsia="Arial" w:hAnsi="Arial"/>
          <w:color w:val="333333"/>
          <w:sz w:val="20"/>
          <w:szCs w:val="20"/>
          <w:rtl/>
        </w:rPr>
        <w:t xml:space="preserve"> و⁦</w:t>
      </w:r>
      <w:r>
        <w:rPr>
          <w:rFonts w:ascii="Arial" w:eastAsia="Arial" w:hAnsi="Arial"/>
          <w:color w:val="333333"/>
          <w:sz w:val="20"/>
          <w:szCs w:val="20"/>
        </w:rPr>
        <w:t>12</w:t>
      </w:r>
      <w:r>
        <w:rPr>
          <w:rFonts w:ascii="Arial" w:eastAsia="Arial" w:hAnsi="Arial"/>
          <w:color w:val="333333"/>
          <w:sz w:val="20"/>
          <w:szCs w:val="20"/>
          <w:rtl/>
        </w:rPr>
        <w:t xml:space="preserve">⁩ شهراً لـ </w:t>
      </w:r>
      <w:r>
        <w:rPr>
          <w:rFonts w:ascii="Arial" w:eastAsia="Arial" w:hAnsi="Arial"/>
          <w:color w:val="333333"/>
          <w:sz w:val="20"/>
          <w:szCs w:val="20"/>
        </w:rPr>
        <w:t>C/D</w:t>
      </w:r>
      <w:r>
        <w:rPr>
          <w:rFonts w:ascii="Arial" w:eastAsia="Arial" w:hAnsi="Arial"/>
          <w:color w:val="333333"/>
          <w:sz w:val="20"/>
          <w:szCs w:val="20"/>
          <w:rtl/>
        </w:rPr>
        <w:t xml:space="preserve">) وبعد التغيير. وتشمل: اختبار سلامة مرشّحات </w:t>
      </w:r>
      <w:r>
        <w:rPr>
          <w:rFonts w:ascii="Arial" w:eastAsia="Arial" w:hAnsi="Arial"/>
          <w:color w:val="333333"/>
          <w:sz w:val="20"/>
          <w:szCs w:val="20"/>
        </w:rPr>
        <w:t>HEPA</w:t>
      </w:r>
      <w:r>
        <w:rPr>
          <w:rFonts w:ascii="Arial" w:eastAsia="Arial" w:hAnsi="Arial"/>
          <w:color w:val="333333"/>
          <w:sz w:val="20"/>
          <w:szCs w:val="20"/>
          <w:rtl/>
        </w:rPr>
        <w:t xml:space="preserve">، ودراسات تصوّر التدفّق (الدخان)، وقياس السرعة ومعدّل تغيير الهواء، وفروق الضغط، وزمن الاستعادة؛ وللدرجة </w:t>
      </w:r>
      <w:r>
        <w:rPr>
          <w:rFonts w:ascii="Arial" w:eastAsia="Arial" w:hAnsi="Arial"/>
          <w:color w:val="333333"/>
          <w:sz w:val="20"/>
          <w:szCs w:val="20"/>
        </w:rPr>
        <w:t>A</w:t>
      </w:r>
      <w:r>
        <w:rPr>
          <w:rFonts w:ascii="Arial" w:eastAsia="Arial" w:hAnsi="Arial"/>
          <w:color w:val="333333"/>
          <w:sz w:val="20"/>
          <w:szCs w:val="20"/>
          <w:rtl/>
        </w:rPr>
        <w:t xml:space="preserve"> يُثبت غياب دخول الهواء للمنطقة الحرجة.</w:t>
      </w:r>
      <w:r>
        <w:rPr>
          <w:rFonts w:ascii="Arial" w:eastAsia="Arial" w:hAnsi="Arial"/>
          <w:b/>
          <w:bCs/>
          <w:color w:val="15512F"/>
          <w:sz w:val="20"/>
          <w:szCs w:val="20"/>
          <w:rtl/>
        </w:rPr>
        <w:t xml:space="preserve">  </w:t>
      </w:r>
      <w:r>
        <w:rPr>
          <w:rFonts w:ascii="Arial" w:eastAsia="Arial" w:hAnsi="Arial"/>
          <w:b/>
          <w:bCs/>
          <w:color w:val="15512F"/>
          <w:sz w:val="20"/>
          <w:szCs w:val="20"/>
        </w:rPr>
        <w:t>CR</w:t>
      </w:r>
      <w:r>
        <w:rPr>
          <w:rFonts w:ascii="Arial" w:eastAsia="Arial" w:hAnsi="Arial"/>
          <w:b/>
          <w:bCs/>
          <w:color w:val="15512F"/>
          <w:sz w:val="20"/>
          <w:szCs w:val="20"/>
          <w:rtl/>
        </w:rPr>
        <w:t>.⁦</w:t>
      </w:r>
      <w:r>
        <w:rPr>
          <w:rFonts w:ascii="Arial" w:eastAsia="Arial" w:hAnsi="Arial"/>
          <w:b/>
          <w:bCs/>
          <w:color w:val="15512F"/>
          <w:sz w:val="20"/>
          <w:szCs w:val="20"/>
        </w:rPr>
        <w:t>1</w:t>
      </w:r>
      <w:r>
        <w:rPr>
          <w:rFonts w:ascii="Arial" w:eastAsia="Arial" w:hAnsi="Arial"/>
          <w:b/>
          <w:bCs/>
          <w:color w:val="15512F"/>
          <w:sz w:val="20"/>
          <w:szCs w:val="20"/>
          <w:rtl/>
        </w:rPr>
        <w:t>⁩</w:t>
      </w:r>
    </w:p>
    <w:p w14:paraId="3233FA06" w14:textId="77777777" w:rsidR="00CD5946" w:rsidRDefault="00000000">
      <w:pPr>
        <w:pBdr>
          <w:left w:val="single" w:sz="6" w:space="8" w:color="CFCFCF"/>
        </w:pBdr>
        <w:spacing w:after="30"/>
        <w:ind w:left="300"/>
      </w:pPr>
      <w:r>
        <w:rPr>
          <w:rFonts w:ascii="Arial" w:eastAsia="Arial" w:hAnsi="Arial"/>
          <w:b/>
          <w:bCs/>
          <w:color w:val="5A5A5A"/>
          <w:sz w:val="18"/>
          <w:szCs w:val="18"/>
        </w:rPr>
        <w:t xml:space="preserve">Note.  </w:t>
      </w:r>
      <w:r>
        <w:rPr>
          <w:rFonts w:ascii="Arial" w:eastAsia="Arial" w:hAnsi="Arial"/>
          <w:i/>
          <w:iCs/>
          <w:color w:val="5A5A5A"/>
          <w:sz w:val="18"/>
          <w:szCs w:val="18"/>
        </w:rPr>
        <w:t>ISO 14644-1 uses ISO Class numbers (e.g. ISO 5/7/8); GMP grades A–D map to these at specified occupancy states but are not identical — GMP additionally fixes the occupancy state and couples the classification to microbial limits. Always state the grade, the particle sizes and the occupancy state together. Table A-CR 1 carries the classification footnotes of Annex 1 (2022): (a) ≥ 5 µm classification may be considered where the CCS or historical trends indicate; (b) Grade D in-operation limits are established by the manufacturer through risk assessment. Routine monitoring applies the separate limits of Annex 1 (2022) Table 5 (Grade A: 29 per m³ at ≥ 5 µm in both states; Grade B: 29 at rest, 2 930 in operation) — see Annex 1, section 10.</w:t>
      </w:r>
    </w:p>
    <w:p w14:paraId="0F0B740D" w14:textId="77777777" w:rsidR="00CD5946" w:rsidRDefault="00000000">
      <w:pPr>
        <w:bidi/>
        <w:spacing w:after="140"/>
        <w:ind w:right="300"/>
        <w:jc w:val="right"/>
      </w:pPr>
      <w:r>
        <w:rPr>
          <w:rFonts w:ascii="Arial" w:eastAsia="Arial" w:hAnsi="Arial"/>
          <w:color w:val="5A5A5A"/>
          <w:sz w:val="18"/>
          <w:szCs w:val="18"/>
          <w:rtl/>
        </w:rPr>
        <w:t xml:space="preserve">يستخدم ISO ⁦14644-1⁩ أرقام فئات (مثل ISO ⁦5/7/8⁩)؛ وتُقابلها درجات GMP من A إلى D عند حالات إشغال محدّدة دون تطابق تام، إذ تربط GMP التصنيف بالحدود الميكروبية. ويُذكَر دائماً الدرجة وأحجام الجسيمات وحالة الإشغال معاً. ويحمل الجدول A-CR ⁦1⁩ حاشيتي التصنيف وفق ملحق ⁦2022⁩، أمّا المراقبة الروتينية فتُطبّق حدود الجدول ⁦5⁩ المستقلة (انظر الملحق ⁦1⁩، القسم ⁦10⁩).  ملاحظة.</w:t>
      </w:r>
    </w:p>
    <w:p w14:paraId="456FCF38" w14:textId="77777777" w:rsidR="00CD5946" w:rsidRDefault="00000000">
      <w:pPr>
        <w:pStyle w:val="Heading2"/>
        <w:spacing w:before="220"/>
      </w:pPr>
      <w:bookmarkStart w:id="250" w:name="__RefHeading___Toc9657_1729075678"/>
      <w:bookmarkEnd w:id="250"/>
      <w:r>
        <w:t>2.  Glossary (Annex A-CR)</w:t>
      </w:r>
      <w:r>
        <w:rPr>
          <w:b w:val="0"/>
          <w:bCs w:val="0"/>
          <w:color w:val="1A1A1A"/>
          <w:sz w:val="21"/>
          <w:szCs w:val="21"/>
        </w:rPr>
        <w:t xml:space="preserve">   </w:t>
      </w:r>
      <w:r>
        <w:rPr>
          <w:color w:val="C8A24B"/>
          <w:sz w:val="20"/>
          <w:szCs w:val="20"/>
          <w:rtl/>
        </w:rPr>
        <w:t>مسرد</w:t>
      </w:r>
      <w:r>
        <w:rPr>
          <w:color w:val="C8A24B"/>
          <w:sz w:val="20"/>
          <w:szCs w:val="20"/>
        </w:rPr>
        <w:t xml:space="preserve"> A-CR</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700"/>
        <w:gridCol w:w="6660"/>
      </w:tblGrid>
      <w:tr w:rsidR="00CD5946" w14:paraId="7056042E" w14:textId="77777777">
        <w:trPr>
          <w:tblHeader/>
        </w:trPr>
        <w:tc>
          <w:tcPr>
            <w:tcW w:w="2700" w:type="dxa"/>
            <w:tcBorders>
              <w:top w:val="single" w:sz="2" w:space="0" w:color="BFC9C0"/>
              <w:left w:val="single" w:sz="2" w:space="0" w:color="BFC9C0"/>
              <w:bottom w:val="single" w:sz="2" w:space="0" w:color="BFC9C0"/>
              <w:right w:val="single" w:sz="2" w:space="0" w:color="BFC9C0"/>
            </w:tcBorders>
            <w:shd w:val="clear" w:color="auto" w:fill="0E5A50"/>
          </w:tcPr>
          <w:p w14:paraId="6D6D6F88" w14:textId="77777777" w:rsidR="00CD5946" w:rsidRDefault="00000000">
            <w:pPr>
              <w:spacing w:after="0"/>
            </w:pPr>
            <w:r>
              <w:rPr>
                <w:rFonts w:ascii="Arial" w:eastAsia="Arial" w:hAnsi="Arial"/>
                <w:b/>
                <w:bCs/>
                <w:color w:val="FFFFFF"/>
                <w:sz w:val="18"/>
                <w:szCs w:val="18"/>
              </w:rPr>
              <w:t xml:space="preserve">Term / </w:t>
            </w:r>
            <w:r>
              <w:rPr>
                <w:rFonts w:ascii="Arial" w:eastAsia="Arial" w:hAnsi="Arial"/>
                <w:b/>
                <w:bCs/>
                <w:color w:val="FFFFFF"/>
                <w:sz w:val="18"/>
                <w:szCs w:val="18"/>
                <w:rtl/>
              </w:rPr>
              <w:t>المصطلح</w:t>
            </w:r>
          </w:p>
        </w:tc>
        <w:tc>
          <w:tcPr>
            <w:tcW w:w="6660" w:type="dxa"/>
            <w:tcBorders>
              <w:top w:val="single" w:sz="2" w:space="0" w:color="BFC9C0"/>
              <w:left w:val="single" w:sz="2" w:space="0" w:color="BFC9C0"/>
              <w:bottom w:val="single" w:sz="2" w:space="0" w:color="BFC9C0"/>
              <w:right w:val="single" w:sz="2" w:space="0" w:color="BFC9C0"/>
            </w:tcBorders>
            <w:shd w:val="clear" w:color="auto" w:fill="0E5A50"/>
          </w:tcPr>
          <w:p w14:paraId="1A5CAC98" w14:textId="77777777" w:rsidR="00CD5946" w:rsidRDefault="00000000">
            <w:pPr>
              <w:spacing w:after="0"/>
            </w:pPr>
            <w:r>
              <w:rPr>
                <w:rFonts w:ascii="Arial" w:eastAsia="Arial" w:hAnsi="Arial"/>
                <w:b/>
                <w:bCs/>
                <w:color w:val="FFFFFF"/>
                <w:sz w:val="18"/>
                <w:szCs w:val="18"/>
              </w:rPr>
              <w:t xml:space="preserve">Definition / </w:t>
            </w:r>
            <w:r>
              <w:rPr>
                <w:rFonts w:ascii="Arial" w:eastAsia="Arial" w:hAnsi="Arial"/>
                <w:b/>
                <w:bCs/>
                <w:color w:val="FFFFFF"/>
                <w:sz w:val="18"/>
                <w:szCs w:val="18"/>
                <w:rtl/>
              </w:rPr>
              <w:t>التعريف</w:t>
            </w:r>
          </w:p>
        </w:tc>
      </w:tr>
      <w:tr w:rsidR="00CD5946" w14:paraId="2EFA4151"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2EEB450F" w14:textId="77777777" w:rsidR="00CD5946" w:rsidRDefault="00000000">
            <w:pPr>
              <w:spacing w:after="0"/>
            </w:pPr>
            <w:r>
              <w:rPr>
                <w:rFonts w:ascii="Arial" w:eastAsia="Arial" w:hAnsi="Arial"/>
                <w:b/>
                <w:bCs/>
                <w:color w:val="15512F"/>
                <w:sz w:val="18"/>
                <w:szCs w:val="18"/>
              </w:rPr>
              <w:t>At rest</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12C51D1B" w14:textId="77777777" w:rsidR="00CD5946" w:rsidRDefault="00000000">
            <w:pPr>
              <w:spacing w:after="0"/>
            </w:pPr>
            <w:r>
              <w:rPr>
                <w:rFonts w:ascii="Arial" w:eastAsia="Arial" w:hAnsi="Arial"/>
                <w:color w:val="1A1A1A"/>
                <w:sz w:val="18"/>
                <w:szCs w:val="18"/>
              </w:rPr>
              <w:t xml:space="preserve">The state in which the installation is complete and operating but with no personnel present. / </w:t>
            </w:r>
            <w:r>
              <w:rPr>
                <w:rFonts w:ascii="Arial" w:eastAsia="Arial" w:hAnsi="Arial"/>
                <w:color w:val="1A1A1A"/>
                <w:sz w:val="18"/>
                <w:szCs w:val="18"/>
                <w:rtl/>
              </w:rPr>
              <w:t>حالة اكتمال التركيب دون أفراد</w:t>
            </w:r>
            <w:r>
              <w:rPr>
                <w:rFonts w:ascii="Arial" w:eastAsia="Arial" w:hAnsi="Arial"/>
                <w:color w:val="1A1A1A"/>
                <w:sz w:val="18"/>
                <w:szCs w:val="18"/>
              </w:rPr>
              <w:t>.</w:t>
            </w:r>
          </w:p>
        </w:tc>
      </w:tr>
      <w:tr w:rsidR="00CD5946" w14:paraId="16FB8A2C"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51A89638" w14:textId="77777777" w:rsidR="00CD5946" w:rsidRDefault="00000000">
            <w:pPr>
              <w:spacing w:after="0"/>
            </w:pPr>
            <w:r>
              <w:rPr>
                <w:rFonts w:ascii="Arial" w:eastAsia="Arial" w:hAnsi="Arial"/>
                <w:b/>
                <w:bCs/>
                <w:color w:val="15512F"/>
                <w:sz w:val="18"/>
                <w:szCs w:val="18"/>
              </w:rPr>
              <w:t>In operation</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4B97BB5C" w14:textId="77777777" w:rsidR="00CD5946" w:rsidRDefault="00000000">
            <w:pPr>
              <w:spacing w:after="0"/>
            </w:pPr>
            <w:r>
              <w:rPr>
                <w:rFonts w:ascii="Arial" w:eastAsia="Arial" w:hAnsi="Arial"/>
                <w:color w:val="1A1A1A"/>
                <w:sz w:val="18"/>
                <w:szCs w:val="18"/>
              </w:rPr>
              <w:t xml:space="preserve">The state in which the installation is functioning with personnel present and working. / </w:t>
            </w:r>
            <w:r>
              <w:rPr>
                <w:rFonts w:ascii="Arial" w:eastAsia="Arial" w:hAnsi="Arial"/>
                <w:color w:val="1A1A1A"/>
                <w:sz w:val="18"/>
                <w:szCs w:val="18"/>
                <w:rtl/>
              </w:rPr>
              <w:t>حالة التشغيل بوجود الأفراد</w:t>
            </w:r>
            <w:r>
              <w:rPr>
                <w:rFonts w:ascii="Arial" w:eastAsia="Arial" w:hAnsi="Arial"/>
                <w:color w:val="1A1A1A"/>
                <w:sz w:val="18"/>
                <w:szCs w:val="18"/>
              </w:rPr>
              <w:t>.</w:t>
            </w:r>
          </w:p>
        </w:tc>
      </w:tr>
      <w:tr w:rsidR="00CD5946" w14:paraId="20629903"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4AF073FB" w14:textId="77777777" w:rsidR="00CD5946" w:rsidRDefault="00000000">
            <w:pPr>
              <w:spacing w:after="0"/>
            </w:pPr>
            <w:r>
              <w:rPr>
                <w:rFonts w:ascii="Arial" w:eastAsia="Arial" w:hAnsi="Arial"/>
                <w:b/>
                <w:bCs/>
                <w:color w:val="15512F"/>
                <w:sz w:val="18"/>
                <w:szCs w:val="18"/>
              </w:rPr>
              <w:t>HEPA</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059E2E4B" w14:textId="77777777" w:rsidR="00CD5946" w:rsidRDefault="00000000">
            <w:pPr>
              <w:spacing w:after="0"/>
            </w:pPr>
            <w:r>
              <w:rPr>
                <w:rFonts w:ascii="Arial" w:eastAsia="Arial" w:hAnsi="Arial"/>
                <w:color w:val="1A1A1A"/>
                <w:sz w:val="18"/>
                <w:szCs w:val="18"/>
              </w:rPr>
              <w:t xml:space="preserve">High-Efficiency Particulate Air filter, integrity-tested in situ. / </w:t>
            </w:r>
            <w:r>
              <w:rPr>
                <w:rFonts w:ascii="Arial" w:eastAsia="Arial" w:hAnsi="Arial"/>
                <w:color w:val="1A1A1A"/>
                <w:sz w:val="18"/>
                <w:szCs w:val="18"/>
                <w:rtl/>
              </w:rPr>
              <w:t>مرشّح هواء عالي الكفاءة</w:t>
            </w:r>
            <w:r>
              <w:rPr>
                <w:rFonts w:ascii="Arial" w:eastAsia="Arial" w:hAnsi="Arial"/>
                <w:color w:val="1A1A1A"/>
                <w:sz w:val="18"/>
                <w:szCs w:val="18"/>
              </w:rPr>
              <w:t>.</w:t>
            </w:r>
          </w:p>
        </w:tc>
      </w:tr>
    </w:tbl>
    <w:p w14:paraId="0194D08D" w14:textId="77777777" w:rsidR="00CD5946" w:rsidRDefault="00000000">
      <w:pPr>
        <w:spacing w:before="260" w:after="0"/>
        <w:jc w:val="center"/>
      </w:pPr>
      <w:r>
        <w:rPr>
          <w:noProof/>
        </w:rPr>
        <w:drawing>
          <wp:inline distT="0" distB="0" distL="0" distR="0" wp14:anchorId="3E842106" wp14:editId="6DF3C2F0">
            <wp:extent cx="876300" cy="1238250"/>
            <wp:effectExtent l="0" t="0" r="0" b="0"/>
            <wp:docPr id="23" name="Image22" descr="AUPAM AU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2" descr="AUPAM AUPAM"/>
                    <pic:cNvPicPr>
                      <a:picLocks noChangeAspect="1" noChangeArrowheads="1"/>
                    </pic:cNvPicPr>
                  </pic:nvPicPr>
                  <pic:blipFill>
                    <a:blip r:embed="rId8"/>
                    <a:stretch>
                      <a:fillRect/>
                    </a:stretch>
                  </pic:blipFill>
                  <pic:spPr bwMode="auto">
                    <a:xfrm>
                      <a:off x="0" y="0"/>
                      <a:ext cx="876300" cy="1238250"/>
                    </a:xfrm>
                    <a:prstGeom prst="rect">
                      <a:avLst/>
                    </a:prstGeom>
                    <a:noFill/>
                  </pic:spPr>
                </pic:pic>
              </a:graphicData>
            </a:graphic>
          </wp:inline>
        </w:drawing>
      </w:r>
    </w:p>
    <w:p w14:paraId="45115723" w14:textId="77777777" w:rsidR="00CD5946" w:rsidRDefault="00000000">
      <w:pPr>
        <w:spacing w:before="50" w:after="0"/>
        <w:jc w:val="center"/>
      </w:pPr>
      <w:r>
        <w:rPr>
          <w:rFonts w:ascii="Arial" w:eastAsia="Arial" w:hAnsi="Arial"/>
          <w:b/>
          <w:bCs/>
          <w:color w:val="15512F"/>
          <w:sz w:val="19"/>
          <w:szCs w:val="19"/>
        </w:rPr>
        <w:t>AUPAM EXPERTS' OFFICE</w:t>
      </w:r>
    </w:p>
    <w:p w14:paraId="4548B01C" w14:textId="77777777" w:rsidR="00CD5946" w:rsidRDefault="00000000">
      <w:pPr>
        <w:spacing w:before="340" w:after="0"/>
        <w:jc w:val="center"/>
      </w:pPr>
      <w:r>
        <w:rPr>
          <w:rFonts w:ascii="Arial" w:eastAsia="Arial" w:hAnsi="Arial"/>
          <w:b/>
          <w:bCs/>
          <w:color w:val="1A1A1A"/>
          <w:sz w:val="26"/>
          <w:szCs w:val="26"/>
        </w:rPr>
        <w:t>ARAB GUIDELINES on cGMP for Pharmaceutical Products</w:t>
      </w:r>
    </w:p>
    <w:p w14:paraId="1098F1AD" w14:textId="77777777" w:rsidR="00CD5946" w:rsidRDefault="00000000">
      <w:pPr>
        <w:spacing w:before="10" w:after="0"/>
        <w:jc w:val="center"/>
      </w:pPr>
      <w:r>
        <w:rPr>
          <w:rFonts w:ascii="Arial" w:eastAsia="Arial" w:hAnsi="Arial"/>
          <w:b/>
          <w:bCs/>
          <w:color w:val="B08C37"/>
          <w:sz w:val="24"/>
          <w:szCs w:val="24"/>
        </w:rPr>
        <w:t>2026 EDITION</w:t>
      </w:r>
    </w:p>
    <w:p w14:paraId="567C229C" w14:textId="77777777" w:rsidR="00CD5946" w:rsidRDefault="00000000">
      <w:pPr>
        <w:spacing w:before="260" w:after="0"/>
        <w:jc w:val="center"/>
      </w:pPr>
      <w:r>
        <w:rPr>
          <w:rFonts w:ascii="Arial" w:eastAsia="Arial" w:hAnsi="Arial"/>
          <w:b/>
          <w:bCs/>
          <w:color w:val="15512F"/>
          <w:sz w:val="54"/>
          <w:szCs w:val="54"/>
        </w:rPr>
        <w:t>APPENDICES</w:t>
      </w:r>
    </w:p>
    <w:p w14:paraId="73488D51" w14:textId="77777777" w:rsidR="00CD5946" w:rsidRDefault="00000000">
      <w:pPr>
        <w:spacing w:before="40" w:after="0"/>
        <w:jc w:val="center"/>
      </w:pPr>
      <w:r>
        <w:rPr>
          <w:rFonts w:ascii="Arial" w:eastAsia="Arial" w:hAnsi="Arial"/>
          <w:b/>
          <w:bCs/>
          <w:color w:val="1A1A1A"/>
          <w:sz w:val="28"/>
          <w:szCs w:val="28"/>
        </w:rPr>
        <w:t>ICH alignment · Acceptance-criteria register · Glossary · References</w:t>
      </w:r>
    </w:p>
    <w:p w14:paraId="416243AD" w14:textId="77777777" w:rsidR="00CD5946" w:rsidRDefault="00000000">
      <w:pPr>
        <w:spacing w:before="16" w:after="0"/>
        <w:jc w:val="center"/>
      </w:pPr>
      <w:r>
        <w:rPr>
          <w:rFonts w:ascii="Arial" w:eastAsia="Arial" w:hAnsi="Arial"/>
          <w:color w:val="5A5A5A"/>
          <w:sz w:val="22"/>
          <w:szCs w:val="22"/>
        </w:rPr>
        <w:t>Appendices A – D</w:t>
      </w:r>
    </w:p>
    <w:p w14:paraId="71CB295F" w14:textId="77777777" w:rsidR="00CD5946" w:rsidRDefault="00000000">
      <w:pPr>
        <w:spacing w:before="26" w:after="0"/>
        <w:jc w:val="center"/>
      </w:pPr>
      <w:r>
        <w:rPr>
          <w:rFonts w:ascii="Arial" w:eastAsia="Arial" w:hAnsi="Arial"/>
          <w:b/>
          <w:bCs/>
          <w:color w:val="15512F"/>
          <w:sz w:val="22"/>
          <w:szCs w:val="22"/>
          <w:rtl/>
        </w:rPr>
        <w:t>الملاحق التكميلية (أ–د)</w:t>
      </w:r>
    </w:p>
    <w:p w14:paraId="19FF2670" w14:textId="77777777" w:rsidR="00CD5946" w:rsidRDefault="00000000">
      <w:pPr>
        <w:pBdr>
          <w:top w:val="single" w:sz="12" w:space="8" w:color="C8A24B"/>
          <w:bottom w:val="single" w:sz="12" w:space="8" w:color="C8A24B"/>
        </w:pBdr>
        <w:spacing w:before="300" w:after="0"/>
        <w:jc w:val="center"/>
      </w:pPr>
      <w:r>
        <w:rPr>
          <w:rFonts w:ascii="Arial" w:eastAsia="Arial" w:hAnsi="Arial"/>
          <w:b/>
          <w:bCs/>
          <w:color w:val="15512F"/>
          <w:sz w:val="19"/>
          <w:szCs w:val="19"/>
        </w:rPr>
        <w:t>Harmonised with EU GMP · PIC/S PE 009 · SFDA GMP Guide v4.4 · US FDA · WHO · ICH</w:t>
      </w:r>
    </w:p>
    <w:p w14:paraId="6C725327" w14:textId="77777777" w:rsidR="00CD5946" w:rsidRDefault="00000000">
      <w:r>
        <w:br w:type="page"/>
      </w:r>
    </w:p>
    <w:p w14:paraId="78ECEF68" w14:textId="77777777" w:rsidR="00CD5946" w:rsidRDefault="00000000">
      <w:pPr>
        <w:pStyle w:val="Heading1"/>
        <w:spacing w:before="0"/>
      </w:pPr>
      <w:bookmarkStart w:id="251" w:name="__RefHeading___Toc9659_1729075678"/>
      <w:bookmarkEnd w:id="251"/>
      <w:r>
        <w:lastRenderedPageBreak/>
        <w:t>Contents</w:t>
      </w:r>
    </w:p>
    <w:sdt>
      <w:sdtPr>
        <w:id w:val="-791442425"/>
        <w:docPartObj>
          <w:docPartGallery w:val="Table of Contents"/>
          <w:docPartUnique/>
        </w:docPartObj>
      </w:sdtPr>
      <w:sdtContent>
        <w:p w14:paraId="34A96CE1" w14:textId="77777777" w:rsidR="00CD5946" w:rsidRDefault="00CD5946">
          <w:pPr>
            <w:pStyle w:val="TOC1"/>
            <w:tabs>
              <w:tab w:val="clear" w:pos="9360"/>
              <w:tab w:val="right" w:leader="dot" w:pos="9359"/>
            </w:tabs>
          </w:pPr>
          <w:r>
            <w:fldChar w:fldCharType="begin"/>
          </w:r>
          <w:r>
            <w:rPr>
              <w:rStyle w:val="IndexLink"/>
            </w:rPr>
            <w:instrText xml:space="preserve"> TOC \o "1-1" \h</w:instrText>
            <w:fldChar w:fldCharType="separate"/>
          </w:r>
          <w:hyperlink w:anchor="__RefHeading___Toc9151_1729075678" w:tooltip="Document Control · ضبط الوثيقة">
            <w:r>
              <w:rPr>
                <w:rStyle w:val="IndexLink"/>
              </w:rPr>
              <w:t xml:space="preserve">Document Control · </w:t>
            </w:r>
            <w:r>
              <w:rPr>
                <w:rStyle w:val="IndexLink"/>
                <w:rtl/>
              </w:rPr>
              <w:t>ضبط الوثيقة</w:t>
            </w:r>
            <w:r>
              <w:rPr>
                <w:rStyle w:val="IndexLink"/>
              </w:rPr>
              <w:tab/>
              <w:t>2</w:t>
            </w:r>
          </w:hyperlink>
        </w:p>
        <w:p w14:paraId="62C2D691" w14:textId="77777777" w:rsidR="00CD5946" w:rsidRDefault="00CD5946">
          <w:pPr>
            <w:pStyle w:val="TOC1"/>
            <w:tabs>
              <w:tab w:val="clear" w:pos="9360"/>
              <w:tab w:val="right" w:leader="dot" w:pos="9359"/>
            </w:tabs>
          </w:pPr>
          <w:hyperlink w:anchor="__RefHeading___Toc9155_1729075678" w:tooltip="Endorsement, Approval &amp; Adoption · الاعتماد والإقرار والتبنّي">
            <w:r>
              <w:rPr>
                <w:rStyle w:val="IndexLink"/>
              </w:rPr>
              <w:t xml:space="preserve">Endorsement, Approval &amp; Adoption · </w:t>
            </w:r>
            <w:r>
              <w:rPr>
                <w:rStyle w:val="IndexLink"/>
                <w:rtl/>
              </w:rPr>
              <w:t>الاعتماد والإقرار والتبنّي</w:t>
            </w:r>
            <w:r>
              <w:rPr>
                <w:rStyle w:val="IndexLink"/>
              </w:rPr>
              <w:tab/>
              <w:t>8</w:t>
            </w:r>
          </w:hyperlink>
        </w:p>
        <w:p w14:paraId="67AE68EB" w14:textId="77777777" w:rsidR="00CD5946" w:rsidRDefault="00CD5946">
          <w:pPr>
            <w:pStyle w:val="TOC1"/>
            <w:tabs>
              <w:tab w:val="clear" w:pos="9360"/>
              <w:tab w:val="right" w:leader="dot" w:pos="9359"/>
            </w:tabs>
          </w:pPr>
          <w:hyperlink w:anchor="__RefHeading___Toc9159_1729075678" w:tooltip="How to Use This Guideline · كيفية استخدام الدليل">
            <w:r>
              <w:rPr>
                <w:rStyle w:val="IndexLink"/>
              </w:rPr>
              <w:t xml:space="preserve">How to Use This Guideline · </w:t>
            </w:r>
            <w:r>
              <w:rPr>
                <w:rStyle w:val="IndexLink"/>
                <w:rtl/>
              </w:rPr>
              <w:t>كيفية استخدام الدليل</w:t>
            </w:r>
            <w:r>
              <w:rPr>
                <w:rStyle w:val="IndexLink"/>
              </w:rPr>
              <w:tab/>
              <w:t>8</w:t>
            </w:r>
          </w:hyperlink>
        </w:p>
        <w:p w14:paraId="28FBDCF5" w14:textId="77777777" w:rsidR="00CD5946" w:rsidRDefault="00CD5946">
          <w:pPr>
            <w:pStyle w:val="TOC1"/>
            <w:tabs>
              <w:tab w:val="clear" w:pos="9360"/>
              <w:tab w:val="right" w:leader="dot" w:pos="9359"/>
            </w:tabs>
          </w:pPr>
          <w:hyperlink w:anchor="__RefHeading___Toc9161_1729075678" w:tooltip="Foreword · تصدير">
            <w:r>
              <w:rPr>
                <w:rStyle w:val="IndexLink"/>
              </w:rPr>
              <w:t xml:space="preserve">Foreword · </w:t>
            </w:r>
            <w:r>
              <w:rPr>
                <w:rStyle w:val="IndexLink"/>
                <w:rtl/>
              </w:rPr>
              <w:t>تصدير</w:t>
            </w:r>
            <w:r>
              <w:rPr>
                <w:rStyle w:val="IndexLink"/>
              </w:rPr>
              <w:tab/>
              <w:t>8</w:t>
            </w:r>
          </w:hyperlink>
        </w:p>
        <w:p w14:paraId="615877D2" w14:textId="77777777" w:rsidR="00CD5946" w:rsidRDefault="00CD5946">
          <w:pPr>
            <w:pStyle w:val="TOC1"/>
            <w:tabs>
              <w:tab w:val="clear" w:pos="9360"/>
              <w:tab w:val="right" w:leader="dot" w:pos="9359"/>
            </w:tabs>
          </w:pPr>
          <w:hyperlink w:anchor="__RefHeading___Toc9165_1729075678" w:tooltip="Contents · المحتويات">
            <w:r>
              <w:rPr>
                <w:rStyle w:val="IndexLink"/>
              </w:rPr>
              <w:t xml:space="preserve">Contents · </w:t>
            </w:r>
            <w:r>
              <w:rPr>
                <w:rStyle w:val="IndexLink"/>
                <w:rtl/>
              </w:rPr>
              <w:t>المحتويات</w:t>
            </w:r>
            <w:r>
              <w:rPr>
                <w:rStyle w:val="IndexLink"/>
              </w:rPr>
              <w:tab/>
              <w:t>8</w:t>
            </w:r>
          </w:hyperlink>
        </w:p>
        <w:p w14:paraId="19F9A4CF" w14:textId="77777777" w:rsidR="00CD5946" w:rsidRDefault="00CD5946">
          <w:pPr>
            <w:pStyle w:val="TOC1"/>
            <w:tabs>
              <w:tab w:val="clear" w:pos="9360"/>
              <w:tab w:val="right" w:leader="dot" w:pos="9359"/>
            </w:tabs>
          </w:pPr>
          <w:hyperlink w:anchor="__RefHeading___Toc9167_1729075678" w:tooltip="1. Introduction">
            <w:r>
              <w:rPr>
                <w:rStyle w:val="IndexLink"/>
              </w:rPr>
              <w:t>1. Introduction</w:t>
              <w:tab/>
              <w:t>8</w:t>
            </w:r>
          </w:hyperlink>
        </w:p>
        <w:p w14:paraId="193453CC" w14:textId="77777777" w:rsidR="00CD5946" w:rsidRDefault="00CD5946">
          <w:pPr>
            <w:pStyle w:val="TOC1"/>
            <w:tabs>
              <w:tab w:val="clear" w:pos="9360"/>
              <w:tab w:val="right" w:leader="dot" w:pos="9359"/>
            </w:tabs>
          </w:pPr>
          <w:hyperlink w:anchor="__RefHeading___Toc9187_1729075678" w:tooltip="2. Structure of the 2026 Edition (annotated)">
            <w:r>
              <w:rPr>
                <w:rStyle w:val="IndexLink"/>
              </w:rPr>
              <w:t>2. Structure of the 2026 Edition (annotated)</w:t>
              <w:tab/>
              <w:t>8</w:t>
            </w:r>
          </w:hyperlink>
        </w:p>
        <w:p w14:paraId="077F6E3D" w14:textId="77777777" w:rsidR="00CD5946" w:rsidRDefault="00CD5946">
          <w:pPr>
            <w:pStyle w:val="TOC1"/>
            <w:tabs>
              <w:tab w:val="clear" w:pos="9360"/>
              <w:tab w:val="right" w:leader="dot" w:pos="9359"/>
            </w:tabs>
          </w:pPr>
          <w:hyperlink w:anchor="__RefHeading___Toc9227_1729075678" w:tooltip="3. Harmonisation mapping">
            <w:r>
              <w:rPr>
                <w:rStyle w:val="IndexLink"/>
              </w:rPr>
              <w:t>3. Harmonisation mapping</w:t>
              <w:tab/>
              <w:t>28</w:t>
            </w:r>
          </w:hyperlink>
        </w:p>
        <w:p w14:paraId="3EB4C552" w14:textId="77777777" w:rsidR="00CD5946" w:rsidRDefault="00CD5946">
          <w:pPr>
            <w:pStyle w:val="TOC1"/>
            <w:tabs>
              <w:tab w:val="clear" w:pos="9360"/>
              <w:tab w:val="right" w:leader="dot" w:pos="9359"/>
            </w:tabs>
          </w:pPr>
          <w:hyperlink w:anchor="__RefHeading___Toc9229_1729075678" w:tooltip="4. Crosswalk — 2007 edition → 2026 edition">
            <w:r>
              <w:rPr>
                <w:rStyle w:val="IndexLink"/>
              </w:rPr>
              <w:t>4. Crosswalk — 2007 edition → 2026 edition</w:t>
              <w:tab/>
              <w:t>29</w:t>
            </w:r>
          </w:hyperlink>
        </w:p>
        <w:p w14:paraId="3802A63E" w14:textId="77777777" w:rsidR="00CD5946" w:rsidRDefault="00CD5946">
          <w:pPr>
            <w:pStyle w:val="TOC1"/>
            <w:tabs>
              <w:tab w:val="clear" w:pos="9360"/>
              <w:tab w:val="right" w:leader="dot" w:pos="9359"/>
            </w:tabs>
          </w:pPr>
          <w:hyperlink w:anchor="__RefHeading___Toc9231_1729075678" w:tooltip="5. Key modernisations since 2007">
            <w:r>
              <w:rPr>
                <w:rStyle w:val="IndexLink"/>
              </w:rPr>
              <w:t>5. Key modernisations since 2007</w:t>
              <w:tab/>
              <w:t>30</w:t>
            </w:r>
          </w:hyperlink>
        </w:p>
        <w:p w14:paraId="58B06EFD" w14:textId="77777777" w:rsidR="00CD5946" w:rsidRDefault="00CD5946">
          <w:pPr>
            <w:pStyle w:val="TOC1"/>
            <w:tabs>
              <w:tab w:val="clear" w:pos="9360"/>
              <w:tab w:val="right" w:leader="dot" w:pos="9359"/>
            </w:tabs>
          </w:pPr>
          <w:hyperlink w:anchor="__RefHeading___Toc9233_1729075678" w:tooltip="6. Normative references">
            <w:r>
              <w:rPr>
                <w:rStyle w:val="IndexLink"/>
              </w:rPr>
              <w:t>6. Normative references</w:t>
              <w:tab/>
              <w:t>31</w:t>
            </w:r>
          </w:hyperlink>
        </w:p>
        <w:p w14:paraId="039ED148" w14:textId="77777777" w:rsidR="00CD5946" w:rsidRDefault="00CD5946">
          <w:pPr>
            <w:pStyle w:val="TOC1"/>
            <w:tabs>
              <w:tab w:val="clear" w:pos="9360"/>
              <w:tab w:val="right" w:leader="dot" w:pos="9359"/>
            </w:tabs>
          </w:pPr>
          <w:hyperlink w:anchor="__RefHeading___Toc9235_1729075678" w:tooltip="7. Definitions">
            <w:r>
              <w:rPr>
                <w:rStyle w:val="IndexLink"/>
              </w:rPr>
              <w:t>7. Definitions</w:t>
              <w:tab/>
              <w:t>33</w:t>
            </w:r>
          </w:hyperlink>
        </w:p>
        <w:p w14:paraId="7ECF63CF" w14:textId="77777777" w:rsidR="00CD5946" w:rsidRDefault="00CD5946">
          <w:pPr>
            <w:pStyle w:val="TOC1"/>
            <w:tabs>
              <w:tab w:val="clear" w:pos="9360"/>
              <w:tab w:val="right" w:leader="dot" w:pos="9359"/>
            </w:tabs>
          </w:pPr>
          <w:hyperlink w:anchor="__RefHeading___Toc9243_1729075678" w:tooltip="Contents">
            <w:r>
              <w:rPr>
                <w:rStyle w:val="IndexLink"/>
              </w:rPr>
              <w:t>Contents</w:t>
              <w:tab/>
              <w:t>34</w:t>
            </w:r>
          </w:hyperlink>
        </w:p>
        <w:p w14:paraId="7535064A" w14:textId="77777777" w:rsidR="00CD5946" w:rsidRDefault="00CD5946">
          <w:pPr>
            <w:pStyle w:val="TOC1"/>
            <w:tabs>
              <w:tab w:val="clear" w:pos="9360"/>
              <w:tab w:val="right" w:leader="dot" w:pos="9359"/>
            </w:tabs>
          </w:pPr>
          <w:hyperlink w:anchor="__RefHeading___Toc9245_1729075678" w:tooltip="Scope and application of Part I">
            <w:r>
              <w:rPr>
                <w:rStyle w:val="IndexLink"/>
              </w:rPr>
              <w:t>Scope and application of Part I</w:t>
              <w:tab/>
              <w:t>34</w:t>
            </w:r>
          </w:hyperlink>
        </w:p>
        <w:p w14:paraId="0E3F3C19" w14:textId="77777777" w:rsidR="00CD5946" w:rsidRDefault="00CD5946">
          <w:pPr>
            <w:pStyle w:val="TOC1"/>
            <w:tabs>
              <w:tab w:val="clear" w:pos="9360"/>
              <w:tab w:val="right" w:leader="dot" w:pos="9359"/>
            </w:tabs>
          </w:pPr>
          <w:hyperlink w:anchor="__RefHeading___Toc9247_1729075678" w:tooltip="Chapter 1 — Pharmaceutical Quality System">
            <w:r>
              <w:rPr>
                <w:rStyle w:val="IndexLink"/>
              </w:rPr>
              <w:t>Chapter 1 — Pharmaceutical Quality System</w:t>
              <w:tab/>
              <w:t>34</w:t>
            </w:r>
          </w:hyperlink>
        </w:p>
        <w:p w14:paraId="2AF13E42" w14:textId="77777777" w:rsidR="00CD5946" w:rsidRDefault="00CD5946">
          <w:pPr>
            <w:pStyle w:val="TOC1"/>
            <w:tabs>
              <w:tab w:val="clear" w:pos="9360"/>
              <w:tab w:val="right" w:leader="dot" w:pos="9359"/>
            </w:tabs>
          </w:pPr>
          <w:hyperlink w:anchor="__RefHeading___Toc9259_1729075678" w:tooltip="Chapter 2 — Personnel">
            <w:r>
              <w:rPr>
                <w:rStyle w:val="IndexLink"/>
              </w:rPr>
              <w:t>Chapter 2 — Personnel</w:t>
              <w:tab/>
              <w:t>42</w:t>
            </w:r>
          </w:hyperlink>
        </w:p>
        <w:p w14:paraId="03EE4624" w14:textId="77777777" w:rsidR="00CD5946" w:rsidRDefault="00CD5946">
          <w:pPr>
            <w:pStyle w:val="TOC1"/>
            <w:tabs>
              <w:tab w:val="clear" w:pos="9360"/>
              <w:tab w:val="right" w:leader="dot" w:pos="9359"/>
            </w:tabs>
          </w:pPr>
          <w:hyperlink w:anchor="__RefHeading___Toc9271_1729075678" w:tooltip="Chapter 3 — Premises and Equipment">
            <w:r>
              <w:rPr>
                <w:rStyle w:val="IndexLink"/>
              </w:rPr>
              <w:t>Chapter 3 — Premises and Equipment</w:t>
              <w:tab/>
              <w:t>45</w:t>
            </w:r>
          </w:hyperlink>
        </w:p>
        <w:p w14:paraId="67059696" w14:textId="77777777" w:rsidR="00CD5946" w:rsidRDefault="00CD5946">
          <w:pPr>
            <w:pStyle w:val="TOC1"/>
            <w:tabs>
              <w:tab w:val="clear" w:pos="9360"/>
              <w:tab w:val="right" w:leader="dot" w:pos="9359"/>
            </w:tabs>
          </w:pPr>
          <w:hyperlink w:anchor="__RefHeading___Toc9285_1729075678" w:tooltip="Chapter 4 — Documentation">
            <w:r>
              <w:rPr>
                <w:rStyle w:val="IndexLink"/>
              </w:rPr>
              <w:t>Chapter 4 — Documentation</w:t>
              <w:tab/>
              <w:t>48</w:t>
            </w:r>
          </w:hyperlink>
        </w:p>
        <w:p w14:paraId="5C6EEB95" w14:textId="77777777" w:rsidR="00CD5946" w:rsidRDefault="00CD5946">
          <w:pPr>
            <w:pStyle w:val="TOC1"/>
            <w:tabs>
              <w:tab w:val="clear" w:pos="9360"/>
              <w:tab w:val="right" w:leader="dot" w:pos="9359"/>
            </w:tabs>
          </w:pPr>
          <w:hyperlink w:anchor="__RefHeading___Toc9297_1729075678" w:tooltip="Chapter 5 — Production">
            <w:r>
              <w:rPr>
                <w:rStyle w:val="IndexLink"/>
              </w:rPr>
              <w:t>Chapter 5 — Production</w:t>
              <w:tab/>
              <w:t>51</w:t>
            </w:r>
          </w:hyperlink>
        </w:p>
        <w:p w14:paraId="26508CF8" w14:textId="77777777" w:rsidR="00CD5946" w:rsidRDefault="00CD5946">
          <w:pPr>
            <w:pStyle w:val="TOC1"/>
            <w:tabs>
              <w:tab w:val="clear" w:pos="9360"/>
              <w:tab w:val="right" w:leader="dot" w:pos="9359"/>
            </w:tabs>
          </w:pPr>
          <w:hyperlink w:anchor="__RefHeading___Toc9313_1729075678" w:tooltip="Chapter 6 — Quality Control">
            <w:r>
              <w:rPr>
                <w:rStyle w:val="IndexLink"/>
              </w:rPr>
              <w:t>Chapter 6 — Quality Control</w:t>
              <w:tab/>
              <w:t>55</w:t>
            </w:r>
          </w:hyperlink>
        </w:p>
        <w:p w14:paraId="7B3CD7C3" w14:textId="77777777" w:rsidR="00CD5946" w:rsidRDefault="00CD5946">
          <w:pPr>
            <w:pStyle w:val="TOC1"/>
            <w:tabs>
              <w:tab w:val="clear" w:pos="9360"/>
              <w:tab w:val="right" w:leader="dot" w:pos="9359"/>
            </w:tabs>
          </w:pPr>
          <w:hyperlink w:anchor="__RefHeading___Toc9325_1729075678" w:tooltip="Chapter 7 — Outsourced Activities">
            <w:r>
              <w:rPr>
                <w:rStyle w:val="IndexLink"/>
              </w:rPr>
              <w:t>Chapter 7 — Outsourced Activities</w:t>
              <w:tab/>
              <w:t>57</w:t>
            </w:r>
          </w:hyperlink>
        </w:p>
        <w:p w14:paraId="682E5397" w14:textId="77777777" w:rsidR="00CD5946" w:rsidRDefault="00CD5946">
          <w:pPr>
            <w:pStyle w:val="TOC1"/>
            <w:tabs>
              <w:tab w:val="clear" w:pos="9360"/>
              <w:tab w:val="right" w:leader="dot" w:pos="9359"/>
            </w:tabs>
          </w:pPr>
          <w:hyperlink w:anchor="__RefHeading___Toc9335_1729075678" w:tooltip="Chapter 8 — Complaints, Quality Defects and Product Recalls">
            <w:r>
              <w:rPr>
                <w:rStyle w:val="IndexLink"/>
              </w:rPr>
              <w:t>Chapter 8 — Complaints, Quality Defects and Product Recalls</w:t>
              <w:tab/>
              <w:t>59</w:t>
            </w:r>
          </w:hyperlink>
        </w:p>
        <w:p w14:paraId="5449BC85" w14:textId="77777777" w:rsidR="00CD5946" w:rsidRDefault="00CD5946">
          <w:pPr>
            <w:pStyle w:val="TOC1"/>
            <w:tabs>
              <w:tab w:val="clear" w:pos="9360"/>
              <w:tab w:val="right" w:leader="dot" w:pos="9359"/>
            </w:tabs>
          </w:pPr>
          <w:hyperlink w:anchor="__RefHeading___Toc9345_1729075678" w:tooltip="Chapter 9 — Self-Inspection">
            <w:r>
              <w:rPr>
                <w:rStyle w:val="IndexLink"/>
              </w:rPr>
              <w:t>Chapter 9 — Self-Inspection</w:t>
              <w:tab/>
              <w:t>61</w:t>
            </w:r>
          </w:hyperlink>
        </w:p>
        <w:p w14:paraId="2BD20D0A" w14:textId="77777777" w:rsidR="00CD5946" w:rsidRDefault="00CD5946">
          <w:pPr>
            <w:pStyle w:val="TOC1"/>
            <w:tabs>
              <w:tab w:val="clear" w:pos="9360"/>
              <w:tab w:val="right" w:leader="dot" w:pos="9359"/>
            </w:tabs>
          </w:pPr>
          <w:hyperlink w:anchor="__RefHeading___Toc9349_1729075678" w:tooltip="Contents">
            <w:r>
              <w:rPr>
                <w:rStyle w:val="IndexLink"/>
              </w:rPr>
              <w:t>Contents</w:t>
              <w:tab/>
              <w:t>63</w:t>
            </w:r>
          </w:hyperlink>
        </w:p>
        <w:p w14:paraId="344B007D" w14:textId="77777777" w:rsidR="00CD5946" w:rsidRDefault="00CD5946">
          <w:pPr>
            <w:pStyle w:val="TOC1"/>
            <w:tabs>
              <w:tab w:val="clear" w:pos="9360"/>
              <w:tab w:val="right" w:leader="dot" w:pos="9359"/>
            </w:tabs>
          </w:pPr>
          <w:hyperlink w:anchor="__RefHeading___Toc9351_1729075678" w:tooltip="Part II — Basic Requirements for Active Substances used as Starting Materials">
            <w:r>
              <w:rPr>
                <w:rStyle w:val="IndexLink"/>
              </w:rPr>
              <w:t>Part II — Basic Requirements for Active Substances used as Starting Materials</w:t>
              <w:tab/>
              <w:t>64</w:t>
            </w:r>
          </w:hyperlink>
        </w:p>
        <w:p w14:paraId="3C5E9CAB" w14:textId="77777777" w:rsidR="00CD5946" w:rsidRDefault="00CD5946">
          <w:pPr>
            <w:pStyle w:val="TOC1"/>
            <w:tabs>
              <w:tab w:val="clear" w:pos="9360"/>
              <w:tab w:val="right" w:leader="dot" w:pos="9359"/>
            </w:tabs>
          </w:pPr>
          <w:hyperlink w:anchor="__RefHeading___Toc9389_1729075678" w:tooltip="Part III — GMP-related Documents">
            <w:r>
              <w:rPr>
                <w:rStyle w:val="IndexLink"/>
              </w:rPr>
              <w:t>Part III — GMP-related Documents</w:t>
              <w:tab/>
              <w:t>73</w:t>
            </w:r>
          </w:hyperlink>
        </w:p>
        <w:p w14:paraId="14AD1D1F" w14:textId="77777777" w:rsidR="00CD5946" w:rsidRDefault="00CD5946">
          <w:pPr>
            <w:pStyle w:val="TOC1"/>
            <w:tabs>
              <w:tab w:val="clear" w:pos="9360"/>
              <w:tab w:val="right" w:leader="dot" w:pos="9359"/>
            </w:tabs>
          </w:pPr>
          <w:hyperlink w:anchor="__RefHeading___Toc9399_1729075678" w:tooltip="Contents">
            <w:r>
              <w:rPr>
                <w:rStyle w:val="IndexLink"/>
              </w:rPr>
              <w:t>Contents</w:t>
              <w:tab/>
              <w:t>76</w:t>
            </w:r>
          </w:hyperlink>
        </w:p>
        <w:p w14:paraId="5042EF4C" w14:textId="77777777" w:rsidR="00CD5946" w:rsidRDefault="00CD5946">
          <w:pPr>
            <w:pStyle w:val="TOC1"/>
            <w:tabs>
              <w:tab w:val="clear" w:pos="9360"/>
              <w:tab w:val="right" w:leader="dot" w:pos="9359"/>
            </w:tabs>
          </w:pPr>
          <w:hyperlink w:anchor="__RefHeading___Toc9401_1729075678" w:tooltip="Annex 1 — Manufacture of Sterile Medicinal Products · الملحق 1 — تصنيع المنتجات الدوائية المعقّمة">
            <w:r>
              <w:rPr>
                <w:rStyle w:val="IndexLink"/>
              </w:rPr>
              <w:t xml:space="preserve">Annex 1 — Manufacture of Sterile Medicinal Products · </w:t>
            </w:r>
            <w:r>
              <w:rPr>
                <w:rStyle w:val="IndexLink"/>
                <w:rtl/>
              </w:rPr>
              <w:t xml:space="preserve">الملحق </w:t>
            </w:r>
            <w:r>
              <w:rPr>
                <w:rStyle w:val="IndexLink"/>
              </w:rPr>
              <w:t>1</w:t>
            </w:r>
            <w:r>
              <w:rPr>
                <w:rStyle w:val="IndexLink"/>
                <w:rtl/>
              </w:rPr>
              <w:t xml:space="preserve"> — تصنيع المنتجات الدوائية المعقّمة</w:t>
            </w:r>
            <w:r>
              <w:rPr>
                <w:rStyle w:val="IndexLink"/>
              </w:rPr>
              <w:tab/>
              <w:t>76</w:t>
            </w:r>
          </w:hyperlink>
        </w:p>
        <w:p w14:paraId="32E329ED" w14:textId="77777777" w:rsidR="00CD5946" w:rsidRDefault="00CD5946">
          <w:pPr>
            <w:pStyle w:val="TOC1"/>
            <w:tabs>
              <w:tab w:val="clear" w:pos="9360"/>
              <w:tab w:val="right" w:leader="dot" w:pos="9359"/>
            </w:tabs>
          </w:pPr>
          <w:hyperlink w:anchor="__RefHeading___Toc9427_1729075678" w:tooltip="Contents">
            <w:r>
              <w:rPr>
                <w:rStyle w:val="IndexLink"/>
              </w:rPr>
              <w:t>Contents</w:t>
              <w:tab/>
              <w:t>92</w:t>
            </w:r>
          </w:hyperlink>
        </w:p>
        <w:p w14:paraId="4FCC317A" w14:textId="77777777" w:rsidR="00CD5946" w:rsidRDefault="00CD5946">
          <w:pPr>
            <w:pStyle w:val="TOC1"/>
            <w:tabs>
              <w:tab w:val="clear" w:pos="9360"/>
              <w:tab w:val="right" w:leader="dot" w:pos="9359"/>
            </w:tabs>
          </w:pPr>
          <w:hyperlink w:anchor="__RefHeading___Toc9429_1729075678" w:tooltip="Annex 2B — Manufacture of Biological Active Substances and Medicinal Products · الملحق 2ب — تصنيع المواد الفعّالة والمنتجات الدوائية البيولوجية">
            <w:r>
              <w:rPr>
                <w:rStyle w:val="IndexLink"/>
              </w:rPr>
              <w:t xml:space="preserve">Annex 2B — Manufacture of Biological Active Substances and Medicinal Products · </w:t>
            </w:r>
            <w:r>
              <w:rPr>
                <w:rStyle w:val="IndexLink"/>
                <w:rtl/>
              </w:rPr>
              <w:t xml:space="preserve">الملحق </w:t>
            </w:r>
            <w:r>
              <w:rPr>
                <w:rStyle w:val="IndexLink"/>
              </w:rPr>
              <w:t>2</w:t>
            </w:r>
            <w:r>
              <w:rPr>
                <w:rStyle w:val="IndexLink"/>
                <w:rtl/>
              </w:rPr>
              <w:t>ب — تصنيع المواد الفعّالة والمنتجات الدوائية البيولوجية</w:t>
            </w:r>
            <w:r>
              <w:rPr>
                <w:rStyle w:val="IndexLink"/>
              </w:rPr>
              <w:tab/>
              <w:t>92</w:t>
            </w:r>
          </w:hyperlink>
        </w:p>
        <w:p w14:paraId="679300FD" w14:textId="77777777" w:rsidR="00CD5946" w:rsidRDefault="00CD5946">
          <w:pPr>
            <w:pStyle w:val="TOC1"/>
            <w:tabs>
              <w:tab w:val="clear" w:pos="9360"/>
              <w:tab w:val="right" w:leader="dot" w:pos="9359"/>
            </w:tabs>
          </w:pPr>
          <w:hyperlink w:anchor="__RefHeading___Toc9447_1729075678" w:tooltip="Contents">
            <w:r>
              <w:rPr>
                <w:rStyle w:val="IndexLink"/>
              </w:rPr>
              <w:t>Contents</w:t>
              <w:tab/>
              <w:t>100</w:t>
            </w:r>
          </w:hyperlink>
        </w:p>
        <w:p w14:paraId="0D99EACA" w14:textId="77777777" w:rsidR="00CD5946" w:rsidRDefault="00CD5946">
          <w:pPr>
            <w:pStyle w:val="TOC1"/>
            <w:tabs>
              <w:tab w:val="clear" w:pos="9360"/>
              <w:tab w:val="right" w:leader="dot" w:pos="9359"/>
            </w:tabs>
          </w:pPr>
          <w:hyperlink w:anchor="__RefHeading___Toc9449_1729075678" w:tooltip="Annex A-TBP — Traditional (Classical) Biological Medicinal Products · الملحق العربي A-TBP — المنتجات البيولوجية التقليدية">
            <w:r>
              <w:rPr>
                <w:rStyle w:val="IndexLink"/>
              </w:rPr>
              <w:t xml:space="preserve">Annex A-TBP — Traditional (Classical) Biological Medicinal Products · </w:t>
            </w:r>
            <w:r>
              <w:rPr>
                <w:rStyle w:val="IndexLink"/>
                <w:rtl/>
              </w:rPr>
              <w:t xml:space="preserve">الملحق </w:t>
            </w:r>
            <w:r>
              <w:rPr>
                <w:rStyle w:val="IndexLink"/>
              </w:rPr>
              <w:t>A-TBP</w:t>
            </w:r>
            <w:r>
              <w:rPr>
                <w:rStyle w:val="IndexLink"/>
                <w:rtl/>
              </w:rPr>
              <w:t xml:space="preserve"> — المنتجات البيولوجية التقليدية</w:t>
            </w:r>
            <w:r>
              <w:rPr>
                <w:rStyle w:val="IndexLink"/>
              </w:rPr>
              <w:tab/>
              <w:t>101</w:t>
            </w:r>
          </w:hyperlink>
        </w:p>
        <w:p w14:paraId="64D10B0B" w14:textId="77777777" w:rsidR="00CD5946" w:rsidRDefault="00CD5946">
          <w:pPr>
            <w:pStyle w:val="TOC1"/>
            <w:tabs>
              <w:tab w:val="clear" w:pos="9360"/>
              <w:tab w:val="right" w:leader="dot" w:pos="9359"/>
            </w:tabs>
          </w:pPr>
          <w:hyperlink w:anchor="__RefHeading___Toc9455_1729075678" w:tooltip="Contents">
            <w:r>
              <w:rPr>
                <w:rStyle w:val="IndexLink"/>
              </w:rPr>
              <w:t>Contents</w:t>
              <w:tab/>
              <w:t>105</w:t>
            </w:r>
          </w:hyperlink>
        </w:p>
        <w:p w14:paraId="42A17FA9" w14:textId="77777777" w:rsidR="00CD5946" w:rsidRDefault="00CD5946">
          <w:pPr>
            <w:pStyle w:val="TOC1"/>
            <w:tabs>
              <w:tab w:val="clear" w:pos="9360"/>
              <w:tab w:val="right" w:leader="dot" w:pos="9359"/>
            </w:tabs>
          </w:pPr>
          <w:hyperlink w:anchor="__RefHeading___Toc9457_1729075678" w:tooltip="Arab Annex A-BIO — Biosimilars (Similar Biotherapeutic Products) · الملحق العربي A-BIO — المثائل الحيوية (المنتجات العلاجية الحيوية المماثلة)">
            <w:r>
              <w:rPr>
                <w:rStyle w:val="IndexLink"/>
              </w:rPr>
              <w:t xml:space="preserve">Arab Annex A-BIO — Biosimilars (Similar Biotherapeutic Products) · </w:t>
            </w:r>
            <w:r>
              <w:rPr>
                <w:rStyle w:val="IndexLink"/>
                <w:rtl/>
              </w:rPr>
              <w:t>الملحق العربي</w:t>
            </w:r>
            <w:r>
              <w:rPr>
                <w:rStyle w:val="IndexLink"/>
              </w:rPr>
              <w:t xml:space="preserve"> A-BIO — </w:t>
            </w:r>
            <w:r>
              <w:rPr>
                <w:rStyle w:val="IndexLink"/>
                <w:rtl/>
              </w:rPr>
              <w:t>المنتجات العلاجية الحيوية المماثلة (المثائل الحيوية)</w:t>
            </w:r>
            <w:r>
              <w:rPr>
                <w:rStyle w:val="IndexLink"/>
              </w:rPr>
              <w:tab/>
              <w:t>106</w:t>
            </w:r>
          </w:hyperlink>
        </w:p>
        <w:p w14:paraId="48AB47FE" w14:textId="77777777" w:rsidR="00CD5946" w:rsidRDefault="00CD5946">
          <w:pPr>
            <w:pStyle w:val="TOC1"/>
            <w:tabs>
              <w:tab w:val="clear" w:pos="9360"/>
              <w:tab w:val="right" w:leader="dot" w:pos="9359"/>
            </w:tabs>
          </w:pPr>
          <w:hyperlink w:anchor="__RefHeading___Toc9471_1729075678" w:tooltip="Contents">
            <w:r>
              <w:rPr>
                <w:rStyle w:val="IndexLink"/>
              </w:rPr>
              <w:t>Contents</w:t>
              <w:tab/>
              <w:t>111</w:t>
            </w:r>
          </w:hyperlink>
        </w:p>
        <w:p w14:paraId="6DF5ADB1" w14:textId="77777777" w:rsidR="00CD5946" w:rsidRDefault="00CD5946">
          <w:pPr>
            <w:pStyle w:val="TOC1"/>
            <w:tabs>
              <w:tab w:val="clear" w:pos="9360"/>
              <w:tab w:val="right" w:leader="dot" w:pos="9359"/>
            </w:tabs>
          </w:pPr>
          <w:hyperlink w:anchor="__RefHeading___Toc9473_1729075678" w:tooltip="Annex 3 — Manufacture of Radiopharmaceuticals · الملحق 3 — تصنيع المستحضرات الصيدلانية الإشعاعية">
            <w:r>
              <w:rPr>
                <w:rStyle w:val="IndexLink"/>
              </w:rPr>
              <w:t xml:space="preserve">Annex 3 — Manufacture of Radiopharmaceuticals · </w:t>
            </w:r>
            <w:r>
              <w:rPr>
                <w:rStyle w:val="IndexLink"/>
                <w:rtl/>
              </w:rPr>
              <w:t xml:space="preserve">الملحق </w:t>
            </w:r>
            <w:r>
              <w:rPr>
                <w:rStyle w:val="IndexLink"/>
              </w:rPr>
              <w:t>3</w:t>
            </w:r>
            <w:r>
              <w:rPr>
                <w:rStyle w:val="IndexLink"/>
                <w:rtl/>
              </w:rPr>
              <w:t xml:space="preserve"> — تصنيع المستحضرات الصيدلانية الإشعاعية</w:t>
            </w:r>
            <w:r>
              <w:rPr>
                <w:rStyle w:val="IndexLink"/>
              </w:rPr>
              <w:tab/>
              <w:t>112</w:t>
            </w:r>
          </w:hyperlink>
        </w:p>
        <w:p w14:paraId="05155804" w14:textId="77777777" w:rsidR="00CD5946" w:rsidRDefault="00CD5946">
          <w:pPr>
            <w:pStyle w:val="TOC1"/>
            <w:tabs>
              <w:tab w:val="clear" w:pos="9360"/>
              <w:tab w:val="right" w:leader="dot" w:pos="9359"/>
            </w:tabs>
          </w:pPr>
          <w:hyperlink w:anchor="__RefHeading___Toc9479_1729075678" w:tooltip="Contents">
            <w:r>
              <w:rPr>
                <w:rStyle w:val="IndexLink"/>
              </w:rPr>
              <w:t>Contents</w:t>
              <w:tab/>
              <w:t>116</w:t>
            </w:r>
          </w:hyperlink>
        </w:p>
        <w:p w14:paraId="1EDE368C" w14:textId="77777777" w:rsidR="00CD5946" w:rsidRDefault="00CD5946">
          <w:pPr>
            <w:pStyle w:val="TOC1"/>
            <w:tabs>
              <w:tab w:val="clear" w:pos="9360"/>
              <w:tab w:val="right" w:leader="dot" w:pos="9359"/>
            </w:tabs>
          </w:pPr>
          <w:hyperlink w:anchor="__RefHeading___Toc9481_1729075678" w:tooltip="Annex 6 — Manufacture of Medicinal Gases · الملحق 6 — تصنيع الغازات الطبية">
            <w:r>
              <w:rPr>
                <w:rStyle w:val="IndexLink"/>
              </w:rPr>
              <w:t xml:space="preserve">Annex 6 — Manufacture of Medicinal Gases · </w:t>
            </w:r>
            <w:r>
              <w:rPr>
                <w:rStyle w:val="IndexLink"/>
                <w:rtl/>
              </w:rPr>
              <w:t xml:space="preserve">الملحق </w:t>
            </w:r>
            <w:r>
              <w:rPr>
                <w:rStyle w:val="IndexLink"/>
              </w:rPr>
              <w:t>6</w:t>
            </w:r>
            <w:r>
              <w:rPr>
                <w:rStyle w:val="IndexLink"/>
                <w:rtl/>
              </w:rPr>
              <w:t xml:space="preserve"> — تصنيع الغازات الطبية</w:t>
            </w:r>
            <w:r>
              <w:rPr>
                <w:rStyle w:val="IndexLink"/>
              </w:rPr>
              <w:tab/>
              <w:t>116</w:t>
            </w:r>
          </w:hyperlink>
        </w:p>
        <w:p w14:paraId="4DDF48F6" w14:textId="77777777" w:rsidR="00CD5946" w:rsidRDefault="00CD5946">
          <w:pPr>
            <w:pStyle w:val="TOC1"/>
            <w:tabs>
              <w:tab w:val="clear" w:pos="9360"/>
              <w:tab w:val="right" w:leader="dot" w:pos="9359"/>
            </w:tabs>
          </w:pPr>
          <w:hyperlink w:anchor="__RefHeading___Toc9487_1729075678" w:tooltip="Contents">
            <w:r>
              <w:rPr>
                <w:rStyle w:val="IndexLink"/>
              </w:rPr>
              <w:t>Contents</w:t>
              <w:tab/>
              <w:t>121</w:t>
            </w:r>
          </w:hyperlink>
        </w:p>
        <w:p w14:paraId="09FEF6BD" w14:textId="77777777" w:rsidR="00CD5946" w:rsidRDefault="00CD5946">
          <w:pPr>
            <w:pStyle w:val="TOC1"/>
            <w:tabs>
              <w:tab w:val="clear" w:pos="9360"/>
              <w:tab w:val="right" w:leader="dot" w:pos="9359"/>
            </w:tabs>
          </w:pPr>
          <w:hyperlink w:anchor="__RefHeading___Toc9489_1729075678" w:tooltip="Annex 7 — Manufacture of Herbal Medicinal Products · الملحق 7 — تصنيع المنتجات الدوائية العشبية">
            <w:r>
              <w:rPr>
                <w:rStyle w:val="IndexLink"/>
              </w:rPr>
              <w:t xml:space="preserve">Annex 7 — Manufacture of Herbal Medicinal Products · </w:t>
            </w:r>
            <w:r>
              <w:rPr>
                <w:rStyle w:val="IndexLink"/>
                <w:rtl/>
              </w:rPr>
              <w:t xml:space="preserve">الملحق </w:t>
            </w:r>
            <w:r>
              <w:rPr>
                <w:rStyle w:val="IndexLink"/>
              </w:rPr>
              <w:t>7</w:t>
            </w:r>
            <w:r>
              <w:rPr>
                <w:rStyle w:val="IndexLink"/>
                <w:rtl/>
              </w:rPr>
              <w:t xml:space="preserve"> — تصنيع المنتجات الدوائية العشبية</w:t>
            </w:r>
            <w:r>
              <w:rPr>
                <w:rStyle w:val="IndexLink"/>
              </w:rPr>
              <w:tab/>
              <w:t>122</w:t>
            </w:r>
          </w:hyperlink>
        </w:p>
        <w:p w14:paraId="154C5D52" w14:textId="77777777" w:rsidR="00CD5946" w:rsidRDefault="00CD5946">
          <w:pPr>
            <w:pStyle w:val="TOC1"/>
            <w:tabs>
              <w:tab w:val="clear" w:pos="9360"/>
              <w:tab w:val="right" w:leader="dot" w:pos="9359"/>
            </w:tabs>
          </w:pPr>
          <w:hyperlink w:anchor="__RefHeading___Toc9499_1729075678" w:tooltip="Contents">
            <w:r>
              <w:rPr>
                <w:rStyle w:val="IndexLink"/>
              </w:rPr>
              <w:t>Contents</w:t>
              <w:tab/>
              <w:t>126</w:t>
            </w:r>
          </w:hyperlink>
        </w:p>
        <w:p w14:paraId="2DA4D028" w14:textId="77777777" w:rsidR="00CD5946" w:rsidRDefault="00CD5946">
          <w:pPr>
            <w:pStyle w:val="TOC1"/>
            <w:tabs>
              <w:tab w:val="clear" w:pos="9360"/>
              <w:tab w:val="right" w:leader="dot" w:pos="9359"/>
            </w:tabs>
          </w:pPr>
          <w:hyperlink w:anchor="__RefHeading___Toc9501_1729075678" w:tooltip="Annex 8 — Sampling of Starting and Packaging Materials · الملحق 8 — أخذ عينات المواد الأولية ومواد التعبئة">
            <w:r>
              <w:rPr>
                <w:rStyle w:val="IndexLink"/>
              </w:rPr>
              <w:t xml:space="preserve">Annex 8 — Sampling of Starting and Packaging Materials · </w:t>
            </w:r>
            <w:r>
              <w:rPr>
                <w:rStyle w:val="IndexLink"/>
                <w:rtl/>
              </w:rPr>
              <w:t xml:space="preserve">الملحق </w:t>
            </w:r>
            <w:r>
              <w:rPr>
                <w:rStyle w:val="IndexLink"/>
              </w:rPr>
              <w:t>8</w:t>
            </w:r>
            <w:r>
              <w:rPr>
                <w:rStyle w:val="IndexLink"/>
                <w:rtl/>
              </w:rPr>
              <w:t xml:space="preserve"> — أخذ عينات المواد الأولية ومواد التعبئة</w:t>
            </w:r>
            <w:r>
              <w:rPr>
                <w:rStyle w:val="IndexLink"/>
              </w:rPr>
              <w:tab/>
              <w:t>127</w:t>
            </w:r>
          </w:hyperlink>
        </w:p>
        <w:p w14:paraId="26D25F4E" w14:textId="77777777" w:rsidR="00CD5946" w:rsidRDefault="00CD5946">
          <w:pPr>
            <w:pStyle w:val="TOC1"/>
            <w:tabs>
              <w:tab w:val="clear" w:pos="9360"/>
              <w:tab w:val="right" w:leader="dot" w:pos="9359"/>
            </w:tabs>
          </w:pPr>
          <w:hyperlink w:anchor="__RefHeading___Toc9511_1729075678" w:tooltip="Contents">
            <w:r>
              <w:rPr>
                <w:rStyle w:val="IndexLink"/>
              </w:rPr>
              <w:t>Contents</w:t>
              <w:tab/>
              <w:t>131</w:t>
            </w:r>
          </w:hyperlink>
        </w:p>
        <w:p w14:paraId="6F9F05D4" w14:textId="77777777" w:rsidR="00CD5946" w:rsidRDefault="00CD5946">
          <w:pPr>
            <w:pStyle w:val="TOC1"/>
            <w:tabs>
              <w:tab w:val="clear" w:pos="9360"/>
              <w:tab w:val="right" w:leader="dot" w:pos="9359"/>
            </w:tabs>
          </w:pPr>
          <w:hyperlink w:anchor="__RefHeading___Toc9513_1729075678" w:tooltip="Annex 11 — Computerised Systems · الملحق 11 — الأنظمة المحوسبة">
            <w:r>
              <w:rPr>
                <w:rStyle w:val="IndexLink"/>
              </w:rPr>
              <w:t xml:space="preserve">Annex 11 — Computerised Systems · </w:t>
            </w:r>
            <w:r>
              <w:rPr>
                <w:rStyle w:val="IndexLink"/>
                <w:rtl/>
              </w:rPr>
              <w:t xml:space="preserve">الملحق </w:t>
            </w:r>
            <w:r>
              <w:rPr>
                <w:rStyle w:val="IndexLink"/>
              </w:rPr>
              <w:t>11</w:t>
            </w:r>
            <w:r>
              <w:rPr>
                <w:rStyle w:val="IndexLink"/>
                <w:rtl/>
              </w:rPr>
              <w:t xml:space="preserve"> — الأنظمة المحوسبة</w:t>
            </w:r>
            <w:r>
              <w:rPr>
                <w:rStyle w:val="IndexLink"/>
              </w:rPr>
              <w:tab/>
              <w:t>131</w:t>
            </w:r>
          </w:hyperlink>
        </w:p>
        <w:p w14:paraId="42AF95B2" w14:textId="77777777" w:rsidR="00CD5946" w:rsidRDefault="00CD5946">
          <w:pPr>
            <w:pStyle w:val="TOC1"/>
            <w:tabs>
              <w:tab w:val="clear" w:pos="9360"/>
              <w:tab w:val="right" w:leader="dot" w:pos="9359"/>
            </w:tabs>
          </w:pPr>
          <w:hyperlink w:anchor="__RefHeading___Toc9545_1729075678" w:tooltip="Contents">
            <w:r>
              <w:rPr>
                <w:rStyle w:val="IndexLink"/>
              </w:rPr>
              <w:t>Contents</w:t>
              <w:tab/>
              <w:t>139</w:t>
            </w:r>
          </w:hyperlink>
        </w:p>
        <w:p w14:paraId="650E94EB" w14:textId="77777777" w:rsidR="00CD5946" w:rsidRDefault="00CD5946">
          <w:pPr>
            <w:pStyle w:val="TOC1"/>
            <w:tabs>
              <w:tab w:val="clear" w:pos="9360"/>
              <w:tab w:val="right" w:leader="dot" w:pos="9359"/>
            </w:tabs>
          </w:pPr>
          <w:hyperlink w:anchor="__RefHeading___Toc9547_1729075678" w:tooltip="Annex 13 — Investigational Medicinal Products · الملحق 13 — المنتجات الدوائية قيد البحث">
            <w:r>
              <w:rPr>
                <w:rStyle w:val="IndexLink"/>
              </w:rPr>
              <w:t xml:space="preserve">Annex 13 — Investigational Medicinal Products · </w:t>
            </w:r>
            <w:r>
              <w:rPr>
                <w:rStyle w:val="IndexLink"/>
                <w:rtl/>
              </w:rPr>
              <w:t xml:space="preserve">الملحق </w:t>
            </w:r>
            <w:r>
              <w:rPr>
                <w:rStyle w:val="IndexLink"/>
              </w:rPr>
              <w:t>13</w:t>
            </w:r>
            <w:r>
              <w:rPr>
                <w:rStyle w:val="IndexLink"/>
                <w:rtl/>
              </w:rPr>
              <w:t xml:space="preserve"> — المنتجات الدوائية قيد البحث</w:t>
            </w:r>
            <w:r>
              <w:rPr>
                <w:rStyle w:val="IndexLink"/>
              </w:rPr>
              <w:tab/>
              <w:t>140</w:t>
            </w:r>
          </w:hyperlink>
        </w:p>
        <w:p w14:paraId="7B73F19B" w14:textId="77777777" w:rsidR="00CD5946" w:rsidRDefault="00CD5946">
          <w:pPr>
            <w:pStyle w:val="TOC1"/>
            <w:tabs>
              <w:tab w:val="clear" w:pos="9360"/>
              <w:tab w:val="right" w:leader="dot" w:pos="9359"/>
            </w:tabs>
          </w:pPr>
          <w:hyperlink w:anchor="__RefHeading___Toc9557_1729075678" w:tooltip="Contents">
            <w:r>
              <w:rPr>
                <w:rStyle w:val="IndexLink"/>
              </w:rPr>
              <w:t>Contents</w:t>
              <w:tab/>
              <w:t>144</w:t>
            </w:r>
          </w:hyperlink>
        </w:p>
        <w:p w14:paraId="2A08B947" w14:textId="77777777" w:rsidR="00CD5946" w:rsidRDefault="00CD5946">
          <w:pPr>
            <w:pStyle w:val="TOC1"/>
            <w:tabs>
              <w:tab w:val="clear" w:pos="9360"/>
              <w:tab w:val="right" w:leader="dot" w:pos="9359"/>
            </w:tabs>
          </w:pPr>
          <w:hyperlink w:anchor="__RefHeading___Toc9559_1729075678" w:tooltip="Annex 15 — Qualification and Validation · الملحق 15 — التأهيل والتحقّق">
            <w:r>
              <w:rPr>
                <w:rStyle w:val="IndexLink"/>
              </w:rPr>
              <w:t xml:space="preserve">Annex 15 — Qualification and Validation · </w:t>
            </w:r>
            <w:r>
              <w:rPr>
                <w:rStyle w:val="IndexLink"/>
                <w:rtl/>
              </w:rPr>
              <w:t xml:space="preserve">الملحق </w:t>
            </w:r>
            <w:r>
              <w:rPr>
                <w:rStyle w:val="IndexLink"/>
              </w:rPr>
              <w:t>15</w:t>
            </w:r>
            <w:r>
              <w:rPr>
                <w:rStyle w:val="IndexLink"/>
                <w:rtl/>
              </w:rPr>
              <w:t xml:space="preserve"> — التأهيل والتحقّق</w:t>
            </w:r>
            <w:r>
              <w:rPr>
                <w:rStyle w:val="IndexLink"/>
              </w:rPr>
              <w:tab/>
              <w:t>144</w:t>
            </w:r>
          </w:hyperlink>
        </w:p>
        <w:p w14:paraId="2BB896E9" w14:textId="77777777" w:rsidR="00CD5946" w:rsidRDefault="00CD5946">
          <w:pPr>
            <w:pStyle w:val="TOC1"/>
            <w:tabs>
              <w:tab w:val="clear" w:pos="9360"/>
              <w:tab w:val="right" w:leader="dot" w:pos="9359"/>
            </w:tabs>
          </w:pPr>
          <w:hyperlink w:anchor="__RefHeading___Toc9587_1729075678" w:tooltip="Contents">
            <w:r>
              <w:rPr>
                <w:rStyle w:val="IndexLink"/>
              </w:rPr>
              <w:t>Contents</w:t>
              <w:tab/>
              <w:t>154</w:t>
            </w:r>
          </w:hyperlink>
        </w:p>
        <w:p w14:paraId="6382325F" w14:textId="77777777" w:rsidR="00CD5946" w:rsidRDefault="00CD5946">
          <w:pPr>
            <w:pStyle w:val="TOC1"/>
            <w:tabs>
              <w:tab w:val="clear" w:pos="9360"/>
              <w:tab w:val="right" w:leader="dot" w:pos="9359"/>
            </w:tabs>
          </w:pPr>
          <w:hyperlink w:anchor="__RefHeading___Toc9589_1729075678" w:tooltip="Annex 16 — Certification by an Authorised/Qualified Person and Batch Release · الملحق 16 — الاعتماد من الشخص المؤهّل والإفراج عن الدفعة">
            <w:r>
              <w:rPr>
                <w:rStyle w:val="IndexLink"/>
              </w:rPr>
              <w:t xml:space="preserve">Annex 16 — Certification by an Authorised/Qualified Person and Batch Release · </w:t>
            </w:r>
            <w:r>
              <w:rPr>
                <w:rStyle w:val="IndexLink"/>
                <w:rtl/>
              </w:rPr>
              <w:t xml:space="preserve">الملحق </w:t>
            </w:r>
            <w:r>
              <w:rPr>
                <w:rStyle w:val="IndexLink"/>
              </w:rPr>
              <w:t>16</w:t>
            </w:r>
            <w:r>
              <w:rPr>
                <w:rStyle w:val="IndexLink"/>
                <w:rtl/>
              </w:rPr>
              <w:t xml:space="preserve"> — الاعتماد من الشخص المؤهّل والإفراج عن الدفعة</w:t>
            </w:r>
            <w:r>
              <w:rPr>
                <w:rStyle w:val="IndexLink"/>
              </w:rPr>
              <w:tab/>
              <w:t>156</w:t>
            </w:r>
          </w:hyperlink>
        </w:p>
        <w:p w14:paraId="14D35C87" w14:textId="77777777" w:rsidR="00CD5946" w:rsidRDefault="00CD5946">
          <w:pPr>
            <w:pStyle w:val="TOC1"/>
            <w:tabs>
              <w:tab w:val="clear" w:pos="9360"/>
              <w:tab w:val="right" w:leader="dot" w:pos="9359"/>
            </w:tabs>
          </w:pPr>
          <w:hyperlink w:anchor="__RefHeading___Toc9603_1729075678" w:tooltip="Contents">
            <w:r>
              <w:rPr>
                <w:rStyle w:val="IndexLink"/>
              </w:rPr>
              <w:t>Contents</w:t>
              <w:tab/>
              <w:t>160</w:t>
            </w:r>
          </w:hyperlink>
        </w:p>
        <w:p w14:paraId="0B915DBF" w14:textId="77777777" w:rsidR="00CD5946" w:rsidRDefault="00CD5946">
          <w:pPr>
            <w:pStyle w:val="TOC1"/>
            <w:tabs>
              <w:tab w:val="clear" w:pos="9360"/>
              <w:tab w:val="right" w:leader="dot" w:pos="9359"/>
            </w:tabs>
          </w:pPr>
          <w:hyperlink w:anchor="__RefHeading___Toc9605_1729075678" w:tooltip="Annex 17 — Real-Time Release Testing and Parametric Release · الملحق 17 — الإفراج الآني والإفراج البارامتري">
            <w:r>
              <w:rPr>
                <w:rStyle w:val="IndexLink"/>
              </w:rPr>
              <w:t xml:space="preserve">Annex 17 — Real-Time Release Testing and Parametric Release · </w:t>
            </w:r>
            <w:r>
              <w:rPr>
                <w:rStyle w:val="IndexLink"/>
                <w:rtl/>
              </w:rPr>
              <w:t xml:space="preserve">الملحق </w:t>
            </w:r>
            <w:r>
              <w:rPr>
                <w:rStyle w:val="IndexLink"/>
              </w:rPr>
              <w:t>17</w:t>
            </w:r>
            <w:r>
              <w:rPr>
                <w:rStyle w:val="IndexLink"/>
                <w:rtl/>
              </w:rPr>
              <w:t xml:space="preserve"> — الإفراج الآني والإفراج البارامتري</w:t>
            </w:r>
            <w:r>
              <w:rPr>
                <w:rStyle w:val="IndexLink"/>
              </w:rPr>
              <w:tab/>
              <w:t>162</w:t>
            </w:r>
          </w:hyperlink>
        </w:p>
        <w:p w14:paraId="62C60C6D" w14:textId="77777777" w:rsidR="00CD5946" w:rsidRDefault="00CD5946">
          <w:pPr>
            <w:pStyle w:val="TOC1"/>
            <w:tabs>
              <w:tab w:val="clear" w:pos="9360"/>
              <w:tab w:val="right" w:leader="dot" w:pos="9359"/>
            </w:tabs>
          </w:pPr>
          <w:hyperlink w:anchor="__RefHeading___Toc9611_1729075678" w:tooltip="Contents">
            <w:r>
              <w:rPr>
                <w:rStyle w:val="IndexLink"/>
              </w:rPr>
              <w:t>Contents</w:t>
              <w:tab/>
              <w:t>165</w:t>
            </w:r>
          </w:hyperlink>
        </w:p>
        <w:p w14:paraId="62D79999" w14:textId="77777777" w:rsidR="00CD5946" w:rsidRDefault="00CD5946">
          <w:pPr>
            <w:pStyle w:val="TOC1"/>
            <w:tabs>
              <w:tab w:val="clear" w:pos="9360"/>
              <w:tab w:val="right" w:leader="dot" w:pos="9359"/>
            </w:tabs>
          </w:pPr>
          <w:hyperlink w:anchor="__RefHeading___Toc9613_1729075678" w:tooltip="Annex 19 — Reference and Retention Samples · الملحق 19 — العينات المرجعية والمحتفَظ بها">
            <w:r>
              <w:rPr>
                <w:rStyle w:val="IndexLink"/>
              </w:rPr>
              <w:t xml:space="preserve">Annex 19 — Reference and Retention Samples · </w:t>
            </w:r>
            <w:r>
              <w:rPr>
                <w:rStyle w:val="IndexLink"/>
                <w:rtl/>
              </w:rPr>
              <w:t xml:space="preserve">الملحق </w:t>
            </w:r>
            <w:r>
              <w:rPr>
                <w:rStyle w:val="IndexLink"/>
              </w:rPr>
              <w:t>19</w:t>
            </w:r>
            <w:r>
              <w:rPr>
                <w:rStyle w:val="IndexLink"/>
                <w:rtl/>
              </w:rPr>
              <w:t xml:space="preserve"> — العينات المرجعية والمحتفَظ بها</w:t>
            </w:r>
            <w:r>
              <w:rPr>
                <w:rStyle w:val="IndexLink"/>
              </w:rPr>
              <w:tab/>
              <w:t>166</w:t>
            </w:r>
          </w:hyperlink>
        </w:p>
        <w:p w14:paraId="042C60EC" w14:textId="77777777" w:rsidR="00CD5946" w:rsidRDefault="00CD5946">
          <w:pPr>
            <w:pStyle w:val="TOC1"/>
            <w:tabs>
              <w:tab w:val="clear" w:pos="9360"/>
              <w:tab w:val="right" w:leader="dot" w:pos="9359"/>
            </w:tabs>
          </w:pPr>
          <w:hyperlink w:anchor="__RefHeading___Toc9619_1729075678" w:tooltip="Contents">
            <w:r>
              <w:rPr>
                <w:rStyle w:val="IndexLink"/>
              </w:rPr>
              <w:t>Contents</w:t>
              <w:tab/>
              <w:t>170</w:t>
            </w:r>
          </w:hyperlink>
        </w:p>
        <w:p w14:paraId="358EE526" w14:textId="77777777" w:rsidR="00CD5946" w:rsidRDefault="00CD5946">
          <w:pPr>
            <w:pStyle w:val="TOC1"/>
            <w:tabs>
              <w:tab w:val="clear" w:pos="9360"/>
              <w:tab w:val="right" w:leader="dot" w:pos="9359"/>
            </w:tabs>
          </w:pPr>
          <w:hyperlink w:anchor="__RefHeading___Toc9621_1729075678" w:tooltip="Annex 21 — Importation of Medicinal Products · الملحق 21 — استيراد المنتجات الدوائية">
            <w:r>
              <w:rPr>
                <w:rStyle w:val="IndexLink"/>
              </w:rPr>
              <w:t xml:space="preserve">Annex 21 — Importation of Medicinal Products · </w:t>
            </w:r>
            <w:r>
              <w:rPr>
                <w:rStyle w:val="IndexLink"/>
                <w:rtl/>
              </w:rPr>
              <w:t xml:space="preserve">الملحق </w:t>
            </w:r>
            <w:r>
              <w:rPr>
                <w:rStyle w:val="IndexLink"/>
              </w:rPr>
              <w:t>21</w:t>
            </w:r>
            <w:r>
              <w:rPr>
                <w:rStyle w:val="IndexLink"/>
                <w:rtl/>
              </w:rPr>
              <w:t xml:space="preserve"> — استيراد المنتجات الدوائية</w:t>
            </w:r>
            <w:r>
              <w:rPr>
                <w:rStyle w:val="IndexLink"/>
              </w:rPr>
              <w:tab/>
              <w:t>171</w:t>
            </w:r>
          </w:hyperlink>
        </w:p>
        <w:p w14:paraId="45F9AB1C" w14:textId="77777777" w:rsidR="00CD5946" w:rsidRDefault="00CD5946">
          <w:pPr>
            <w:pStyle w:val="TOC1"/>
            <w:tabs>
              <w:tab w:val="clear" w:pos="9360"/>
              <w:tab w:val="right" w:leader="dot" w:pos="9359"/>
            </w:tabs>
          </w:pPr>
          <w:hyperlink w:anchor="__RefHeading___Toc9627_1729075678" w:tooltip="Contents">
            <w:r>
              <w:rPr>
                <w:rStyle w:val="IndexLink"/>
              </w:rPr>
              <w:t>Contents</w:t>
              <w:tab/>
              <w:t>175</w:t>
            </w:r>
          </w:hyperlink>
        </w:p>
        <w:p w14:paraId="162635E1" w14:textId="77777777" w:rsidR="00CD5946" w:rsidRDefault="00CD5946">
          <w:pPr>
            <w:pStyle w:val="TOC1"/>
            <w:tabs>
              <w:tab w:val="clear" w:pos="9360"/>
              <w:tab w:val="right" w:leader="dot" w:pos="9359"/>
            </w:tabs>
          </w:pPr>
          <w:hyperlink w:anchor="__RefHeading___Toc9629_1729075678" w:tooltip="Arab Annex A-DI — Data Integrity · الملحق العربي A-DI — سلامة البيانات">
            <w:r>
              <w:rPr>
                <w:rStyle w:val="IndexLink"/>
              </w:rPr>
              <w:t xml:space="preserve">Arab Annex A-DI — Data Integrity · </w:t>
            </w:r>
            <w:r>
              <w:rPr>
                <w:rStyle w:val="IndexLink"/>
                <w:rtl/>
              </w:rPr>
              <w:t>الملحق العربي</w:t>
            </w:r>
            <w:r>
              <w:rPr>
                <w:rStyle w:val="IndexLink"/>
              </w:rPr>
              <w:t xml:space="preserve"> A-DI — </w:t>
            </w:r>
            <w:r>
              <w:rPr>
                <w:rStyle w:val="IndexLink"/>
                <w:rtl/>
              </w:rPr>
              <w:t>سلامة البيانات</w:t>
            </w:r>
            <w:r>
              <w:rPr>
                <w:rStyle w:val="IndexLink"/>
              </w:rPr>
              <w:tab/>
              <w:t>175</w:t>
            </w:r>
          </w:hyperlink>
        </w:p>
        <w:p w14:paraId="52EDB102" w14:textId="77777777" w:rsidR="00CD5946" w:rsidRDefault="00CD5946">
          <w:pPr>
            <w:pStyle w:val="TOC1"/>
            <w:tabs>
              <w:tab w:val="clear" w:pos="9360"/>
              <w:tab w:val="right" w:leader="dot" w:pos="9359"/>
            </w:tabs>
          </w:pPr>
          <w:hyperlink w:anchor="__RefHeading___Toc9635_1729075678" w:tooltip="Contents">
            <w:r>
              <w:rPr>
                <w:rStyle w:val="IndexLink"/>
              </w:rPr>
              <w:t>Contents</w:t>
              <w:tab/>
              <w:t>175</w:t>
            </w:r>
          </w:hyperlink>
        </w:p>
        <w:p w14:paraId="03AC8361" w14:textId="77777777" w:rsidR="00CD5946" w:rsidRDefault="00CD5946">
          <w:pPr>
            <w:pStyle w:val="TOC1"/>
            <w:tabs>
              <w:tab w:val="clear" w:pos="9360"/>
              <w:tab w:val="right" w:leader="dot" w:pos="9359"/>
            </w:tabs>
          </w:pPr>
          <w:hyperlink w:anchor="__RefHeading___Toc9637_1729075678" w:tooltip="Arab Annex A-CCS — Contamination Control Strategy · الملحق العربي A-CCS — استراتيجية ضبط التلوث">
            <w:r>
              <w:rPr>
                <w:rStyle w:val="IndexLink"/>
              </w:rPr>
              <w:t xml:space="preserve">Arab Annex A-CCS — Contamination Control Strategy · </w:t>
            </w:r>
            <w:r>
              <w:rPr>
                <w:rStyle w:val="IndexLink"/>
                <w:rtl/>
              </w:rPr>
              <w:t>الملحق العربي</w:t>
            </w:r>
            <w:r>
              <w:rPr>
                <w:rStyle w:val="IndexLink"/>
              </w:rPr>
              <w:t xml:space="preserve"> A-CCS — </w:t>
            </w:r>
            <w:r>
              <w:rPr>
                <w:rStyle w:val="IndexLink"/>
                <w:rtl/>
              </w:rPr>
              <w:t>استراتيجية ضبط التلوث</w:t>
            </w:r>
            <w:r>
              <w:rPr>
                <w:rStyle w:val="IndexLink"/>
              </w:rPr>
              <w:tab/>
              <w:t>177</w:t>
            </w:r>
          </w:hyperlink>
        </w:p>
        <w:p w14:paraId="0C38D810" w14:textId="77777777" w:rsidR="00CD5946" w:rsidRDefault="00CD5946">
          <w:pPr>
            <w:pStyle w:val="TOC1"/>
            <w:tabs>
              <w:tab w:val="clear" w:pos="9360"/>
              <w:tab w:val="right" w:leader="dot" w:pos="9359"/>
            </w:tabs>
          </w:pPr>
          <w:hyperlink w:anchor="__RefHeading___Toc9643_1729075678" w:tooltip="Contents">
            <w:r>
              <w:rPr>
                <w:rStyle w:val="IndexLink"/>
              </w:rPr>
              <w:t>Contents</w:t>
              <w:tab/>
              <w:t>184</w:t>
            </w:r>
          </w:hyperlink>
        </w:p>
        <w:p w14:paraId="7BC59DA6" w14:textId="77777777" w:rsidR="00CD5946" w:rsidRDefault="00CD5946">
          <w:pPr>
            <w:pStyle w:val="TOC1"/>
            <w:tabs>
              <w:tab w:val="clear" w:pos="9360"/>
              <w:tab w:val="right" w:leader="dot" w:pos="9359"/>
            </w:tabs>
          </w:pPr>
          <w:hyperlink w:anchor="__RefHeading___Toc9645_1729075678" w:tooltip="Arab Annex A-WAT — Water for Pharmaceutical Use · الملحق العربي A-WAT — الماء للاستخدام الصيدلاني">
            <w:r>
              <w:rPr>
                <w:rStyle w:val="IndexLink"/>
              </w:rPr>
              <w:t xml:space="preserve">Arab Annex A-WAT — Water for Pharmaceutical Use · </w:t>
            </w:r>
            <w:r>
              <w:rPr>
                <w:rStyle w:val="IndexLink"/>
                <w:rtl/>
              </w:rPr>
              <w:t>الملحق العربي</w:t>
            </w:r>
            <w:r>
              <w:rPr>
                <w:rStyle w:val="IndexLink"/>
              </w:rPr>
              <w:t xml:space="preserve"> A-WAT — </w:t>
            </w:r>
            <w:r>
              <w:rPr>
                <w:rStyle w:val="IndexLink"/>
                <w:rtl/>
              </w:rPr>
              <w:t>الماء للاستخدام الصيدلاني</w:t>
            </w:r>
            <w:r>
              <w:rPr>
                <w:rStyle w:val="IndexLink"/>
              </w:rPr>
              <w:tab/>
              <w:t>186</w:t>
            </w:r>
          </w:hyperlink>
        </w:p>
        <w:p w14:paraId="673DE037" w14:textId="77777777" w:rsidR="00CD5946" w:rsidRDefault="00CD5946">
          <w:pPr>
            <w:pStyle w:val="TOC1"/>
            <w:tabs>
              <w:tab w:val="clear" w:pos="9360"/>
              <w:tab w:val="right" w:leader="dot" w:pos="9359"/>
            </w:tabs>
          </w:pPr>
          <w:hyperlink w:anchor="__RefHeading___Toc9651_1729075678" w:tooltip="Contents">
            <w:r>
              <w:rPr>
                <w:rStyle w:val="IndexLink"/>
              </w:rPr>
              <w:t>Contents</w:t>
              <w:tab/>
              <w:t>189</w:t>
            </w:r>
          </w:hyperlink>
        </w:p>
        <w:p w14:paraId="4BCF8202" w14:textId="77777777" w:rsidR="00CD5946" w:rsidRDefault="00CD5946">
          <w:pPr>
            <w:pStyle w:val="TOC1"/>
            <w:tabs>
              <w:tab w:val="clear" w:pos="9360"/>
              <w:tab w:val="right" w:leader="dot" w:pos="9359"/>
            </w:tabs>
          </w:pPr>
          <w:hyperlink w:anchor="__RefHeading___Toc9653_1729075678" w:tooltip="Arab Annex A-CR — Cleanroom Classification and Qualification · الملحق العربي A-CR — تصنيف وتأهيل الغرف النظيفة">
            <w:r>
              <w:rPr>
                <w:rStyle w:val="IndexLink"/>
              </w:rPr>
              <w:t xml:space="preserve">Arab Annex A-CR — Cleanroom Classification and Qualification · </w:t>
            </w:r>
            <w:r>
              <w:rPr>
                <w:rStyle w:val="IndexLink"/>
                <w:rtl/>
              </w:rPr>
              <w:t>الملحق العربي</w:t>
            </w:r>
            <w:r>
              <w:rPr>
                <w:rStyle w:val="IndexLink"/>
              </w:rPr>
              <w:t xml:space="preserve"> A-CR — </w:t>
            </w:r>
            <w:r>
              <w:rPr>
                <w:rStyle w:val="IndexLink"/>
                <w:rtl/>
              </w:rPr>
              <w:t>تصنيف وتأهيل الغرف النظيفة</w:t>
            </w:r>
            <w:r>
              <w:rPr>
                <w:rStyle w:val="IndexLink"/>
              </w:rPr>
              <w:tab/>
              <w:t>191</w:t>
            </w:r>
          </w:hyperlink>
        </w:p>
        <w:p w14:paraId="72BB735F" w14:textId="77777777" w:rsidR="00CD5946" w:rsidRDefault="00CD5946">
          <w:pPr>
            <w:pStyle w:val="TOC1"/>
            <w:tabs>
              <w:tab w:val="clear" w:pos="9360"/>
              <w:tab w:val="right" w:leader="dot" w:pos="9359"/>
            </w:tabs>
          </w:pPr>
          <w:hyperlink w:anchor="__RefHeading___Toc9659_1729075678" w:tooltip="Contents">
            <w:r>
              <w:rPr>
                <w:rStyle w:val="IndexLink"/>
              </w:rPr>
              <w:t>Contents</w:t>
              <w:tab/>
              <w:t>191</w:t>
            </w:r>
          </w:hyperlink>
        </w:p>
        <w:p w14:paraId="1C45EBE4" w14:textId="77777777" w:rsidR="00CD5946" w:rsidRDefault="00CD5946">
          <w:pPr>
            <w:pStyle w:val="TOC1"/>
            <w:tabs>
              <w:tab w:val="clear" w:pos="9360"/>
              <w:tab w:val="right" w:leader="dot" w:pos="9359"/>
            </w:tabs>
          </w:pPr>
          <w:hyperlink w:anchor="__RefHeading___Toc27249_1120453586" w:tooltip="Arab Annex A-GDP — Good Distribution Practice (interface) · الملحق العربي A-GDP — ممارسات التوزيع الجيدة (واجهة الربط)">
            <w:r>
              <w:rPr>
                <w:rStyle w:val="IndexLink"/>
              </w:rPr>
              <w:t xml:space="preserve">Arab Annex A-GDP — Good Distribution Practice (interface) · </w:t>
            </w:r>
            <w:r>
              <w:rPr>
                <w:rStyle w:val="IndexLink"/>
                <w:rtl/>
              </w:rPr>
              <w:t>الملحق العربي</w:t>
            </w:r>
            <w:r>
              <w:rPr>
                <w:rStyle w:val="IndexLink"/>
              </w:rPr>
              <w:t xml:space="preserve"> A-GDP — </w:t>
            </w:r>
            <w:r>
              <w:rPr>
                <w:rStyle w:val="IndexLink"/>
                <w:rtl/>
              </w:rPr>
              <w:t>ممارسات التوزيع الجيدة (واجهة الربط)</w:t>
            </w:r>
            <w:r>
              <w:rPr>
                <w:rStyle w:val="IndexLink"/>
              </w:rPr>
              <w:tab/>
              <w:t>191</w:t>
            </w:r>
          </w:hyperlink>
        </w:p>
        <w:p w14:paraId="41773E5A" w14:textId="77777777" w:rsidR="00CD5946" w:rsidRDefault="00CD5946">
          <w:pPr>
            <w:pStyle w:val="TOC1"/>
            <w:tabs>
              <w:tab w:val="clear" w:pos="9360"/>
              <w:tab w:val="right" w:leader="dot" w:pos="9359"/>
            </w:tabs>
          </w:pPr>
          <w:hyperlink w:anchor="__RefHeading___Toc9661_1729075678" w:tooltip="Appendix A — Alignment with the ICH quality guidelines">
            <w:r>
              <w:rPr>
                <w:rStyle w:val="IndexLink"/>
              </w:rPr>
              <w:t>Appendix A — Alignment with the ICH quality guidelines</w:t>
              <w:tab/>
              <w:t>199</w:t>
            </w:r>
          </w:hyperlink>
        </w:p>
        <w:p w14:paraId="169FE933" w14:textId="77777777" w:rsidR="00CD5946" w:rsidRDefault="00CD5946">
          <w:pPr>
            <w:pStyle w:val="TOC1"/>
            <w:tabs>
              <w:tab w:val="clear" w:pos="9360"/>
              <w:tab w:val="right" w:leader="dot" w:pos="9359"/>
            </w:tabs>
          </w:pPr>
          <w:hyperlink w:anchor="__RefHeading___Toc9663_1729075678" w:tooltip="Appendix B — Acceptance criteria and reference-limits register">
            <w:r>
              <w:rPr>
                <w:rStyle w:val="IndexLink"/>
              </w:rPr>
              <w:t>Appendix B — Acceptance criteria and reference-limits register</w:t>
              <w:tab/>
              <w:t>201</w:t>
            </w:r>
          </w:hyperlink>
        </w:p>
        <w:p w14:paraId="0FC20F97" w14:textId="77777777" w:rsidR="00CD5946" w:rsidRDefault="00CD5946">
          <w:pPr>
            <w:pStyle w:val="TOC1"/>
            <w:tabs>
              <w:tab w:val="clear" w:pos="9360"/>
              <w:tab w:val="right" w:leader="dot" w:pos="9359"/>
            </w:tabs>
          </w:pPr>
          <w:hyperlink w:anchor="__RefHeading___Toc9715_1729075678" w:tooltip="Appendix C — Glossary of definitions">
            <w:r>
              <w:rPr>
                <w:rStyle w:val="IndexLink"/>
              </w:rPr>
              <w:t>Appendix C — Glossary of definitions</w:t>
              <w:tab/>
              <w:t>210</w:t>
            </w:r>
          </w:hyperlink>
        </w:p>
        <w:p w14:paraId="22DCC0F7" w14:textId="77777777" w:rsidR="00CD5946" w:rsidRDefault="00CD5946">
          <w:pPr>
            <w:pStyle w:val="TOC1"/>
            <w:tabs>
              <w:tab w:val="clear" w:pos="9360"/>
              <w:tab w:val="right" w:leader="dot" w:pos="9359"/>
            </w:tabs>
          </w:pPr>
          <w:hyperlink w:anchor="__RefHeading___Toc9717_1729075678" w:tooltip="Appendix D — Normative references">
            <w:r>
              <w:rPr>
                <w:rStyle w:val="IndexLink"/>
              </w:rPr>
              <w:t>Appendix D — Normative references</w:t>
              <w:tab/>
              <w:t>214</w:t>
            </w:r>
          </w:hyperlink>
        </w:p>
        <w:p w14:paraId="09E3848C" w14:textId="77777777" w:rsidR="00CD5946" w:rsidRDefault="00CD5946">
          <w:pPr>
            <w:pStyle w:val="TOC1"/>
            <w:tabs>
              <w:tab w:val="clear" w:pos="9360"/>
              <w:tab w:val="right" w:leader="dot" w:pos="9359"/>
            </w:tabs>
          </w:pPr>
          <w:hyperlink w:anchor="__RefHeading___Toc28267_1371984443" w:tooltip="Part IV — 2026 Practical Companion &amp; Forward Standards · الجزء الرابع — الرفيق العملي والمعايير المستقبلية">
            <w:r>
              <w:rPr>
                <w:rStyle w:val="IndexLink"/>
              </w:rPr>
              <w:t xml:space="preserve">Part IV — 2026 Practical Companion &amp; Forward Standards · </w:t>
            </w:r>
            <w:r>
              <w:rPr>
                <w:rStyle w:val="IndexLink"/>
                <w:rtl/>
              </w:rPr>
              <w:t>الجزء الرابع — الرفيق العملي والمعايير المستقبلية</w:t>
            </w:r>
            <w:r>
              <w:rPr>
                <w:rStyle w:val="IndexLink"/>
              </w:rPr>
              <w:tab/>
              <w:t>215</w:t>
            </w:r>
          </w:hyperlink>
        </w:p>
        <w:p w14:paraId="7860A6E7" w14:textId="77777777" w:rsidR="00CD5946" w:rsidRDefault="00CD5946">
          <w:pPr>
            <w:pStyle w:val="TOC1"/>
            <w:tabs>
              <w:tab w:val="clear" w:pos="9360"/>
              <w:tab w:val="right" w:leader="dot" w:pos="9359"/>
            </w:tabs>
          </w:pPr>
          <w:hyperlink w:anchor="__RefHeading___Toc28277_1371984443" w:tooltip="Arab Annex A-AI — Governance of AI/ML Applications in GMP · الملحق العربي A-AI — حوكمة تطبيقات الذكاء الاصطناعي">
            <w:r>
              <w:rPr>
                <w:rStyle w:val="IndexLink"/>
              </w:rPr>
              <w:t xml:space="preserve">Arab Annex A-AI — Governance of AI/ML Applications in GMP · </w:t>
            </w:r>
            <w:r>
              <w:rPr>
                <w:rStyle w:val="IndexLink"/>
                <w:rtl/>
              </w:rPr>
              <w:t>الملحق العربي</w:t>
            </w:r>
            <w:r>
              <w:rPr>
                <w:rStyle w:val="IndexLink"/>
              </w:rPr>
              <w:t xml:space="preserve"> A-AI — </w:t>
            </w:r>
            <w:r>
              <w:rPr>
                <w:rStyle w:val="IndexLink"/>
                <w:rtl/>
              </w:rPr>
              <w:t>حوكمة تطبيقات الذكاء الاصطناعي</w:t>
            </w:r>
            <w:r>
              <w:rPr>
                <w:rStyle w:val="IndexLink"/>
              </w:rPr>
              <w:tab/>
              <w:t>218</w:t>
            </w:r>
          </w:hyperlink>
        </w:p>
        <w:p w14:paraId="2EEFE707" w14:textId="77777777" w:rsidR="00CD5946" w:rsidRDefault="00CD5946">
          <w:pPr>
            <w:pStyle w:val="TOC1"/>
            <w:tabs>
              <w:tab w:val="clear" w:pos="9360"/>
              <w:tab w:val="right" w:leader="dot" w:pos="9359"/>
            </w:tabs>
          </w:pPr>
          <w:hyperlink w:anchor="__RefHeading___Toc28283_1371984443" w:tooltip="Reliance &amp; Mutual-Recognition Framework · إطار الاعتماد والاعتراف المتبادل">
            <w:r>
              <w:rPr>
                <w:rStyle w:val="IndexLink"/>
              </w:rPr>
              <w:t xml:space="preserve">Reliance &amp; Mutual-Recognition Framework · </w:t>
            </w:r>
            <w:r>
              <w:rPr>
                <w:rStyle w:val="IndexLink"/>
                <w:rtl/>
              </w:rPr>
              <w:t>إطار الاعتماد والاعتراف المتبادل</w:t>
            </w:r>
            <w:r>
              <w:rPr>
                <w:rStyle w:val="IndexLink"/>
              </w:rPr>
              <w:tab/>
              <w:t>219</w:t>
            </w:r>
          </w:hyperlink>
          <w:r>
            <w:rPr>
              <w:rStyle w:val="IndexLink"/>
            </w:rPr>
            <w:fldChar w:fldCharType="end"/>
          </w:r>
        </w:p>
      </w:sdtContent>
    </w:sdt>
    <w:p w14:paraId="447EBBCD" w14:textId="77777777" w:rsidR="00CD5946" w:rsidRDefault="00000000">
      <w:r>
        <w:br w:type="page"/>
      </w:r>
    </w:p>
    <w:p w14:paraId="4CF79385" w14:textId="77777777" w:rsidR="00CD5946" w:rsidRDefault="00000000">
      <w:pPr>
        <w:pStyle w:val="Heading1"/>
        <w:spacing w:before="0"/>
      </w:pPr>
      <w:bookmarkStart w:id="252" w:name="__RefHeading___Toc27249_1120453586"/>
      <w:bookmarkEnd w:id="252"/>
      <w:r>
        <w:rPr>
          <w:rFonts w:ascii="Calibri" w:eastAsia="Calibri" w:hAnsi="Calibri"/>
          <w:color w:val="0E5A50"/>
        </w:rPr>
        <w:lastRenderedPageBreak/>
        <w:t xml:space="preserve">Arab Annex A-GDP — Good Distribution Practice (interface)  ·  </w:t>
      </w:r>
      <w:r>
        <w:rPr>
          <w:rFonts w:ascii="Calibri" w:eastAsia="Calibri" w:hAnsi="Calibri"/>
          <w:color w:val="0E5A50"/>
          <w:rtl/>
        </w:rPr>
        <w:t>الملحق العربي</w:t>
      </w:r>
      <w:r>
        <w:rPr>
          <w:rFonts w:ascii="Calibri" w:eastAsia="Calibri" w:hAnsi="Calibri"/>
          <w:color w:val="0E5A50"/>
        </w:rPr>
        <w:t xml:space="preserve"> A-GDP — </w:t>
      </w:r>
      <w:r>
        <w:rPr>
          <w:rFonts w:ascii="Calibri" w:eastAsia="Calibri" w:hAnsi="Calibri"/>
          <w:color w:val="0E5A50"/>
          <w:rtl/>
        </w:rPr>
        <w:t>ممارسات التوزيع الجيدة (واجهة الربط)</w:t>
      </w:r>
    </w:p>
    <w:p w14:paraId="50E32C4F" w14:textId="77777777" w:rsidR="00CD5946" w:rsidRDefault="00000000">
      <w:pPr>
        <w:spacing w:before="20" w:after="60"/>
        <w:jc w:val="both"/>
      </w:pPr>
      <w:r>
        <w:rPr>
          <w:sz w:val="20"/>
        </w:rPr>
        <w:t>Principle. Good manufacturing practice does not end at the factory gate. The quality of a medicinal product can be compromised after release if it is not stored, transported and distributed under controlled conditions. This Annex sets out the interface between GMP and Good Distribution Practice (GDP) so that the integrity of the supply chain — and the identity, quality and traceability of the product — is maintained from the manufacturer to the point of dispensing, and so that falsified medicines are kept out of the legitimate chain.</w:t>
      </w:r>
    </w:p>
    <w:p w14:paraId="3627A81E" w14:textId="77777777" w:rsidR="00CD5946" w:rsidRDefault="00000000">
      <w:pPr>
        <w:bidi/>
        <w:spacing w:before="20" w:after="60"/>
        <w:jc w:val="both"/>
      </w:pPr>
      <w:r>
        <w:rPr>
          <w:rFonts w:ascii="Arial" w:eastAsia="Arial" w:hAnsi="Arial"/>
          <w:sz w:val="20"/>
          <w:rtl/>
        </w:rPr>
        <w:t>المبدأ: لا تنتهي الممارسات التصنيعية الجيدة عند بوّابة المصنع؛ فقد تتأثّر جودة المنتج الدوائي بعد الإفراج إن لم يُخزَّن ويُنقَل ويُوزَّع بظروف مضبوطة. يحدِّد هذا الملحق واجهة الربط بين الممارسات التصنيعية الجيدة وممارسات التوزيع الجيدة (</w:t>
      </w:r>
      <w:r>
        <w:rPr>
          <w:rFonts w:ascii="Arial" w:eastAsia="Arial" w:hAnsi="Arial"/>
          <w:sz w:val="20"/>
        </w:rPr>
        <w:t>GDP</w:t>
      </w:r>
      <w:r>
        <w:rPr>
          <w:rFonts w:ascii="Arial" w:eastAsia="Arial" w:hAnsi="Arial"/>
          <w:sz w:val="20"/>
          <w:rtl/>
        </w:rPr>
        <w:t>) لصون سلامة سلسلة الإمداد وهوية المنتج وجودته وقابليّته للتتبّع من الصانع إلى نقطة الصرف، ولإبقاء الأدوية المزيّفة خارج السلسلة المشروعة.</w:t>
      </w:r>
    </w:p>
    <w:p w14:paraId="2A696370" w14:textId="77777777" w:rsidR="00CD5946" w:rsidRDefault="00000000">
      <w:pPr>
        <w:pStyle w:val="Heading2"/>
      </w:pPr>
      <w:bookmarkStart w:id="253" w:name="__RefHeading___Toc27251_1120453586"/>
      <w:bookmarkEnd w:id="253"/>
      <w:r>
        <w:rPr>
          <w:rFonts w:ascii="Calibri" w:eastAsia="Calibri" w:hAnsi="Calibri"/>
          <w:color w:val="14756A"/>
        </w:rPr>
        <w:t xml:space="preserve">Scope · </w:t>
      </w:r>
      <w:r>
        <w:rPr>
          <w:rFonts w:ascii="Calibri" w:eastAsia="Calibri" w:hAnsi="Calibri"/>
          <w:color w:val="14756A"/>
          <w:rtl/>
        </w:rPr>
        <w:t>النطاق</w:t>
      </w:r>
    </w:p>
    <w:p w14:paraId="28187FAE" w14:textId="77777777" w:rsidR="00CD5946" w:rsidRDefault="00000000">
      <w:pPr>
        <w:spacing w:before="20" w:after="60"/>
        <w:jc w:val="both"/>
      </w:pPr>
      <w:r>
        <w:rPr>
          <w:sz w:val="20"/>
        </w:rPr>
        <w:t>This Annex applies to the procurement, holding, storage, supply, export and transportation of medicinal products and, where relevant, active substances. It is harmonised with the WHO good storage and distribution practices (TRS 1025, Annex 7, 2020) and the EU GDP Guidelines (2013/C 343/01) and complements Chapter 7 (outsourced activities), Annex 16 (batch release), Annex 19 (samples) and Annex 21 (importation).</w:t>
      </w:r>
    </w:p>
    <w:p w14:paraId="4EE6EE55" w14:textId="77777777" w:rsidR="00CD5946" w:rsidRDefault="00000000">
      <w:pPr>
        <w:bidi/>
        <w:spacing w:before="20" w:after="60"/>
        <w:jc w:val="both"/>
      </w:pPr>
      <w:r>
        <w:rPr>
          <w:rFonts w:ascii="Arial" w:eastAsia="Arial" w:hAnsi="Arial"/>
          <w:sz w:val="20"/>
          <w:rtl/>
        </w:rPr>
        <w:t xml:space="preserve">ينطبق هذا الملحق على شراء المنتجات الدوائية وحفظها وتخزينها وتوريدها وتصديرها ونقلها، وعلى المواد الفعّالة عند الاقتضاء. وهو موائم لممارسات التوزيع الجيدة لمنظمة الصحة العالمية وإرشادات </w:t>
      </w:r>
      <w:r>
        <w:rPr>
          <w:rFonts w:ascii="Arial" w:eastAsia="Arial" w:hAnsi="Arial"/>
          <w:sz w:val="20"/>
        </w:rPr>
        <w:t>GDP</w:t>
      </w:r>
      <w:r>
        <w:rPr>
          <w:rFonts w:ascii="Arial" w:eastAsia="Arial" w:hAnsi="Arial"/>
          <w:sz w:val="20"/>
          <w:rtl/>
        </w:rPr>
        <w:t xml:space="preserve"> الأوروبية (</w:t>
      </w:r>
      <w:r>
        <w:rPr>
          <w:rFonts w:ascii="Arial" w:eastAsia="Arial" w:hAnsi="Arial"/>
          <w:sz w:val="20"/>
        </w:rPr>
        <w:t>2013</w:t>
      </w:r>
      <w:r>
        <w:rPr>
          <w:rFonts w:ascii="Arial" w:eastAsia="Arial" w:hAnsi="Arial"/>
          <w:sz w:val="20"/>
          <w:rtl/>
        </w:rPr>
        <w:t>/</w:t>
      </w:r>
      <w:r>
        <w:rPr>
          <w:rFonts w:ascii="Arial" w:eastAsia="Arial" w:hAnsi="Arial"/>
          <w:sz w:val="20"/>
        </w:rPr>
        <w:t>C 343/01</w:t>
      </w:r>
      <w:r>
        <w:rPr>
          <w:rFonts w:ascii="Arial" w:eastAsia="Arial" w:hAnsi="Arial"/>
          <w:sz w:val="20"/>
          <w:rtl/>
        </w:rPr>
        <w:t xml:space="preserve">)، ومكمِّل للفصل </w:t>
      </w:r>
      <w:r>
        <w:rPr>
          <w:rFonts w:ascii="Arial" w:eastAsia="Arial" w:hAnsi="Arial"/>
          <w:sz w:val="20"/>
        </w:rPr>
        <w:t>7</w:t>
      </w:r>
      <w:r>
        <w:rPr>
          <w:rFonts w:ascii="Arial" w:eastAsia="Arial" w:hAnsi="Arial"/>
          <w:sz w:val="20"/>
          <w:rtl/>
        </w:rPr>
        <w:t xml:space="preserve"> والملاحق </w:t>
      </w:r>
      <w:r>
        <w:rPr>
          <w:rFonts w:ascii="Arial" w:eastAsia="Arial" w:hAnsi="Arial"/>
          <w:sz w:val="20"/>
        </w:rPr>
        <w:t>16</w:t>
      </w:r>
      <w:r>
        <w:rPr>
          <w:rFonts w:ascii="Arial" w:eastAsia="Arial" w:hAnsi="Arial"/>
          <w:sz w:val="20"/>
          <w:rtl/>
        </w:rPr>
        <w:t xml:space="preserve"> و</w:t>
      </w:r>
      <w:r>
        <w:rPr>
          <w:rFonts w:ascii="Arial" w:eastAsia="Arial" w:hAnsi="Arial"/>
          <w:sz w:val="20"/>
        </w:rPr>
        <w:t>19</w:t>
      </w:r>
      <w:r>
        <w:rPr>
          <w:rFonts w:ascii="Arial" w:eastAsia="Arial" w:hAnsi="Arial"/>
          <w:sz w:val="20"/>
          <w:rtl/>
        </w:rPr>
        <w:t xml:space="preserve"> و</w:t>
      </w:r>
      <w:r>
        <w:rPr>
          <w:rFonts w:ascii="Arial" w:eastAsia="Arial" w:hAnsi="Arial"/>
          <w:sz w:val="20"/>
        </w:rPr>
        <w:t>21</w:t>
      </w:r>
      <w:r>
        <w:rPr>
          <w:rFonts w:ascii="Arial" w:eastAsia="Arial" w:hAnsi="Arial"/>
          <w:sz w:val="20"/>
          <w:rtl/>
        </w:rPr>
        <w:t>.</w:t>
      </w:r>
    </w:p>
    <w:p w14:paraId="0C520E98" w14:textId="77777777" w:rsidR="00CD5946" w:rsidRDefault="00000000">
      <w:pPr>
        <w:pStyle w:val="Heading2"/>
      </w:pPr>
      <w:bookmarkStart w:id="254" w:name="__RefHeading___Toc27253_1120453586"/>
      <w:bookmarkEnd w:id="254"/>
      <w:r>
        <w:rPr>
          <w:rFonts w:ascii="Calibri" w:eastAsia="Calibri" w:hAnsi="Calibri"/>
          <w:color w:val="14756A"/>
        </w:rPr>
        <w:t xml:space="preserve">1.  Quality system and the Responsible Person  ·  </w:t>
      </w:r>
      <w:r>
        <w:rPr>
          <w:rFonts w:ascii="Calibri" w:eastAsia="Calibri" w:hAnsi="Calibri"/>
          <w:color w:val="14756A"/>
          <w:rtl/>
        </w:rPr>
        <w:t>نظام الجودة والشخص المسؤول</w:t>
      </w:r>
    </w:p>
    <w:p w14:paraId="43069D48" w14:textId="77777777" w:rsidR="00CD5946" w:rsidRDefault="00000000">
      <w:pPr>
        <w:spacing w:before="20" w:after="60"/>
        <w:jc w:val="both"/>
      </w:pPr>
      <w:r>
        <w:rPr>
          <w:rFonts w:ascii="Calibri" w:eastAsia="Calibri" w:hAnsi="Calibri"/>
          <w:b/>
          <w:color w:val="0E5A50"/>
          <w:sz w:val="20"/>
        </w:rPr>
        <w:t xml:space="preserve">A-GDP.1.1  </w:t>
      </w:r>
      <w:r>
        <w:rPr>
          <w:sz w:val="20"/>
        </w:rPr>
        <w:t>The distributor shall operate a quality system that defines responsibilities, processes and risk-management principles for its activities, and shall designate a Responsible Person with defined authority to ensure a quality system is implemented and maintained.</w:t>
      </w:r>
    </w:p>
    <w:p w14:paraId="6FCCB89B" w14:textId="77777777" w:rsidR="00CD5946" w:rsidRDefault="00000000">
      <w:pPr>
        <w:bidi/>
        <w:spacing w:before="20" w:after="60"/>
        <w:jc w:val="both"/>
      </w:pPr>
      <w:r>
        <w:rPr>
          <w:rFonts w:ascii="Arial" w:eastAsia="Arial" w:hAnsi="Arial"/>
          <w:sz w:val="20"/>
          <w:rtl/>
        </w:rPr>
        <w:t xml:space="preserve">يُشغِّل الموزِّع نظام جودة يحدِّد المسؤوليات والعمليات ومبادئ إدارة المخاطر لأنشطته، ويُعيِّن شخصاً مسؤولاً ذا صلاحية محدَّدة لضمان تطبيق نظام الجودة والحفاظ عليه.  </w:t>
      </w:r>
      <w:r>
        <w:rPr>
          <w:rFonts w:ascii="Calibri" w:eastAsia="Calibri" w:hAnsi="Calibri"/>
          <w:b/>
          <w:color w:val="14756A"/>
          <w:sz w:val="20"/>
        </w:rPr>
        <w:t>A-GDP.1.1</w:t>
      </w:r>
    </w:p>
    <w:p w14:paraId="1BD31044" w14:textId="77777777" w:rsidR="00CD5946" w:rsidRDefault="00000000">
      <w:pPr>
        <w:spacing w:before="20" w:after="60"/>
        <w:jc w:val="both"/>
      </w:pPr>
      <w:r>
        <w:rPr>
          <w:rFonts w:ascii="Calibri" w:eastAsia="Calibri" w:hAnsi="Calibri"/>
          <w:b/>
          <w:color w:val="0E5A50"/>
          <w:sz w:val="20"/>
        </w:rPr>
        <w:t xml:space="preserve">A-GDP.1.2  </w:t>
      </w:r>
      <w:r>
        <w:rPr>
          <w:sz w:val="20"/>
        </w:rPr>
        <w:t>Outsourced activities shall be defined in a written contract, and the quality system shall include change control, deviation and CAPA management, self-inspection and management review.</w:t>
      </w:r>
    </w:p>
    <w:p w14:paraId="0B23C138" w14:textId="77777777" w:rsidR="00CD5946" w:rsidRDefault="00000000">
      <w:pPr>
        <w:bidi/>
        <w:spacing w:before="20" w:after="60"/>
        <w:jc w:val="both"/>
      </w:pPr>
      <w:r>
        <w:rPr>
          <w:rFonts w:ascii="Arial" w:eastAsia="Arial" w:hAnsi="Arial"/>
          <w:sz w:val="20"/>
          <w:rtl/>
        </w:rPr>
        <w:t xml:space="preserve">تُحدَّد الأنشطة المُسنَدة بعقد مكتوب، ويشمل نظام الجودة ضبط التغيير وإدارة الانحرافات والإجراءات التصحيحية والوقائية والتفتيش الذاتي ومراجعة الإدارة.  </w:t>
      </w:r>
      <w:r>
        <w:rPr>
          <w:rFonts w:ascii="Calibri" w:eastAsia="Calibri" w:hAnsi="Calibri"/>
          <w:b/>
          <w:color w:val="14756A"/>
          <w:sz w:val="20"/>
        </w:rPr>
        <w:t>A-GDP.1.2</w:t>
      </w:r>
    </w:p>
    <w:p w14:paraId="75B843E1" w14:textId="77777777" w:rsidR="00CD5946" w:rsidRDefault="00000000">
      <w:pPr>
        <w:pStyle w:val="Heading2"/>
      </w:pPr>
      <w:bookmarkStart w:id="255" w:name="__RefHeading___Toc27255_1120453586"/>
      <w:bookmarkEnd w:id="255"/>
      <w:r>
        <w:rPr>
          <w:rFonts w:ascii="Calibri" w:eastAsia="Calibri" w:hAnsi="Calibri"/>
          <w:color w:val="14756A"/>
        </w:rPr>
        <w:t xml:space="preserve">2.  Personnel and training  ·  </w:t>
      </w:r>
      <w:r>
        <w:rPr>
          <w:rFonts w:ascii="Calibri" w:eastAsia="Calibri" w:hAnsi="Calibri"/>
          <w:color w:val="14756A"/>
          <w:rtl/>
        </w:rPr>
        <w:t>الأفراد والتدريب</w:t>
      </w:r>
    </w:p>
    <w:p w14:paraId="3910F3F8" w14:textId="77777777" w:rsidR="00CD5946" w:rsidRDefault="00000000">
      <w:pPr>
        <w:spacing w:before="20" w:after="60"/>
        <w:jc w:val="both"/>
      </w:pPr>
      <w:r>
        <w:rPr>
          <w:rFonts w:ascii="Calibri" w:eastAsia="Calibri" w:hAnsi="Calibri"/>
          <w:b/>
          <w:color w:val="0E5A50"/>
          <w:sz w:val="20"/>
        </w:rPr>
        <w:t xml:space="preserve">A-GDP.2.1  </w:t>
      </w:r>
      <w:r>
        <w:rPr>
          <w:sz w:val="20"/>
        </w:rPr>
        <w:t>Key personnel shall be competent and trained in GDP, product-specific handling (including cold-chain and controlled substances) and the detection of falsified medicines, with documented and periodically assessed training.</w:t>
      </w:r>
    </w:p>
    <w:p w14:paraId="5A6C33DB" w14:textId="77777777" w:rsidR="00CD5946" w:rsidRDefault="00000000">
      <w:pPr>
        <w:bidi/>
        <w:spacing w:before="20" w:after="60"/>
        <w:jc w:val="both"/>
      </w:pPr>
      <w:r>
        <w:rPr>
          <w:rFonts w:ascii="Arial" w:eastAsia="Arial" w:hAnsi="Arial"/>
          <w:sz w:val="20"/>
          <w:rtl/>
        </w:rPr>
        <w:t xml:space="preserve">يكون الأفراد الرئيسون أكفّاء ومدرَّبين على ممارسات التوزيع الجيدة ومناولة المنتجات (بما فيها سلسلة التبريد والمواد الخاضعة للرقابة) وكشف الأدوية المزيّفة، مع تدريب موثَّق ومُقيَّم دورياً.  </w:t>
      </w:r>
      <w:r>
        <w:rPr>
          <w:rFonts w:ascii="Calibri" w:eastAsia="Calibri" w:hAnsi="Calibri"/>
          <w:b/>
          <w:color w:val="14756A"/>
          <w:sz w:val="20"/>
        </w:rPr>
        <w:t>A-GDP.2.1</w:t>
      </w:r>
    </w:p>
    <w:p w14:paraId="040E2C55" w14:textId="77777777" w:rsidR="00CD5946" w:rsidRDefault="00000000">
      <w:pPr>
        <w:pStyle w:val="Heading2"/>
      </w:pPr>
      <w:bookmarkStart w:id="256" w:name="__RefHeading___Toc27257_1120453586"/>
      <w:bookmarkEnd w:id="256"/>
      <w:r>
        <w:rPr>
          <w:rFonts w:ascii="Calibri" w:eastAsia="Calibri" w:hAnsi="Calibri"/>
          <w:color w:val="14756A"/>
        </w:rPr>
        <w:t xml:space="preserve">3.  Premises, temperature control and the cold chain  ·  </w:t>
      </w:r>
      <w:r>
        <w:rPr>
          <w:rFonts w:ascii="Calibri" w:eastAsia="Calibri" w:hAnsi="Calibri"/>
          <w:color w:val="14756A"/>
          <w:rtl/>
        </w:rPr>
        <w:t>المباني وضبط الحرارة وسلسلة التبريد</w:t>
      </w:r>
    </w:p>
    <w:p w14:paraId="2EC76F34" w14:textId="77777777" w:rsidR="00CD5946" w:rsidRDefault="00000000">
      <w:pPr>
        <w:spacing w:before="20" w:after="60"/>
        <w:jc w:val="both"/>
      </w:pPr>
      <w:r>
        <w:rPr>
          <w:rFonts w:ascii="Calibri" w:eastAsia="Calibri" w:hAnsi="Calibri"/>
          <w:b/>
          <w:color w:val="0E5A50"/>
          <w:sz w:val="20"/>
        </w:rPr>
        <w:t xml:space="preserve">A-GDP.3.1  </w:t>
      </w:r>
      <w:r>
        <w:rPr>
          <w:sz w:val="20"/>
        </w:rPr>
        <w:t>Premises shall protect products from contamination, mix-up and deterioration; storage conditions shall be controlled, monitored and recorded within the labelled limits, and temperature-mapping of storage areas shall be performed and repeated after significant change.</w:t>
      </w:r>
    </w:p>
    <w:p w14:paraId="3401EBD1" w14:textId="77777777" w:rsidR="00CD5946" w:rsidRDefault="00000000">
      <w:pPr>
        <w:bidi/>
        <w:spacing w:before="20" w:after="60"/>
        <w:jc w:val="both"/>
      </w:pPr>
      <w:r>
        <w:rPr>
          <w:rFonts w:ascii="Arial" w:eastAsia="Arial" w:hAnsi="Arial"/>
          <w:sz w:val="20"/>
          <w:rtl/>
        </w:rPr>
        <w:t xml:space="preserve">تحمي المباني المنتجات من التلوّث والاختلاط والتدهور، وتُضبَط ظروف التخزين وتُراقَب وتُسجَّل ضمن الحدود الموسومة، ويُجرى مسح حراري لمناطق التخزين ويُعاد بعد أيّ تغيير مؤثّر.  </w:t>
      </w:r>
      <w:r>
        <w:rPr>
          <w:rFonts w:ascii="Calibri" w:eastAsia="Calibri" w:hAnsi="Calibri"/>
          <w:b/>
          <w:color w:val="14756A"/>
          <w:sz w:val="20"/>
        </w:rPr>
        <w:t>A-GDP.3.1</w:t>
      </w:r>
    </w:p>
    <w:p w14:paraId="48C0872B" w14:textId="77777777" w:rsidR="00CD5946" w:rsidRDefault="00000000">
      <w:pPr>
        <w:spacing w:before="20" w:after="60"/>
        <w:jc w:val="both"/>
      </w:pPr>
      <w:r>
        <w:rPr>
          <w:rFonts w:ascii="Calibri" w:eastAsia="Calibri" w:hAnsi="Calibri"/>
          <w:b/>
          <w:color w:val="0E5A50"/>
          <w:sz w:val="20"/>
        </w:rPr>
        <w:lastRenderedPageBreak/>
        <w:t xml:space="preserve">A-GDP.3.2  </w:t>
      </w:r>
      <w:r>
        <w:rPr>
          <w:sz w:val="20"/>
        </w:rPr>
        <w:t>For temperature-sensitive products, a validated cold-chain shall be maintained end-to-end, with qualified equipment, calibrated monitoring, alarms, and excursion-management procedures supported by stability data.</w:t>
      </w:r>
    </w:p>
    <w:p w14:paraId="1D0E5916" w14:textId="77777777" w:rsidR="00CD5946" w:rsidRDefault="00000000">
      <w:pPr>
        <w:bidi/>
        <w:spacing w:before="20" w:after="60"/>
        <w:jc w:val="both"/>
      </w:pPr>
      <w:r>
        <w:rPr>
          <w:rFonts w:ascii="Arial" w:eastAsia="Arial" w:hAnsi="Arial"/>
          <w:sz w:val="20"/>
          <w:rtl/>
        </w:rPr>
        <w:t xml:space="preserve">للمنتجات الحسّاسة للحرارة، تُصان سلسلة تبريد مُتحقَّقة من طرفٍ إلى طرف بمعدّات مؤهَّلة ومراقبة مُعايَرة وإنذارات وإجراءات لإدارة التجاوزات مدعومة ببيانات الثبات.  </w:t>
      </w:r>
      <w:r>
        <w:rPr>
          <w:rFonts w:ascii="Calibri" w:eastAsia="Calibri" w:hAnsi="Calibri"/>
          <w:b/>
          <w:color w:val="14756A"/>
          <w:sz w:val="20"/>
        </w:rPr>
        <w:t>A-GDP.3.2</w:t>
      </w:r>
    </w:p>
    <w:p w14:paraId="4A7C5A03" w14:textId="77777777" w:rsidR="00CD5946" w:rsidRDefault="00000000">
      <w:pPr>
        <w:pStyle w:val="Heading2"/>
      </w:pPr>
      <w:bookmarkStart w:id="257" w:name="__RefHeading___Toc27259_1120453586"/>
      <w:bookmarkEnd w:id="257"/>
      <w:r>
        <w:rPr>
          <w:rFonts w:ascii="Calibri" w:eastAsia="Calibri" w:hAnsi="Calibri"/>
          <w:color w:val="14756A"/>
        </w:rPr>
        <w:t xml:space="preserve">4.  Documentation and traceability  ·  </w:t>
      </w:r>
      <w:r>
        <w:rPr>
          <w:rFonts w:ascii="Calibri" w:eastAsia="Calibri" w:hAnsi="Calibri"/>
          <w:color w:val="14756A"/>
          <w:rtl/>
        </w:rPr>
        <w:t>التوثيق وقابلية التتبّع</w:t>
      </w:r>
    </w:p>
    <w:p w14:paraId="1F9607B3" w14:textId="77777777" w:rsidR="00CD5946" w:rsidRDefault="00000000">
      <w:pPr>
        <w:spacing w:before="20" w:after="60"/>
        <w:jc w:val="both"/>
      </w:pPr>
      <w:r>
        <w:rPr>
          <w:rFonts w:ascii="Calibri" w:eastAsia="Calibri" w:hAnsi="Calibri"/>
          <w:b/>
          <w:color w:val="0E5A50"/>
          <w:sz w:val="20"/>
        </w:rPr>
        <w:t xml:space="preserve">A-GDP.4.1  </w:t>
      </w:r>
      <w:r>
        <w:rPr>
          <w:sz w:val="20"/>
        </w:rPr>
        <w:t>Records shall permit the traceability of each batch from supplier to recipient, retaining the date, product name and strength, quantity, batch number and expiry date, so that any batch can be located and recalled promptly.</w:t>
      </w:r>
    </w:p>
    <w:p w14:paraId="59B21300" w14:textId="77777777" w:rsidR="00CD5946" w:rsidRDefault="00000000">
      <w:pPr>
        <w:bidi/>
        <w:spacing w:before="20" w:after="60"/>
        <w:jc w:val="both"/>
      </w:pPr>
      <w:r>
        <w:rPr>
          <w:rFonts w:ascii="Arial" w:eastAsia="Arial" w:hAnsi="Arial"/>
          <w:sz w:val="20"/>
          <w:rtl/>
        </w:rPr>
        <w:t xml:space="preserve">تتيح السجلّات تتبّع كلّ تشغيلة من المورِّد إلى المتلقّي، محتفظةً بالتاريخ واسم المنتج وتركيزه والكمّية ورقم التشغيلة وتاريخ الانتهاء، بحيث يمكن تحديد أيّ تشغيلة واستدعاؤها فوراً.  </w:t>
      </w:r>
      <w:r>
        <w:rPr>
          <w:rFonts w:ascii="Calibri" w:eastAsia="Calibri" w:hAnsi="Calibri"/>
          <w:b/>
          <w:color w:val="14756A"/>
          <w:sz w:val="20"/>
        </w:rPr>
        <w:t>A-GDP.4.1</w:t>
      </w:r>
    </w:p>
    <w:p w14:paraId="1F8FD0F3" w14:textId="77777777" w:rsidR="00CD5946" w:rsidRDefault="00000000">
      <w:pPr>
        <w:pStyle w:val="Heading2"/>
      </w:pPr>
      <w:bookmarkStart w:id="258" w:name="__RefHeading___Toc27261_1120453586"/>
      <w:bookmarkEnd w:id="258"/>
      <w:r>
        <w:rPr>
          <w:rFonts w:ascii="Calibri" w:eastAsia="Calibri" w:hAnsi="Calibri"/>
          <w:color w:val="14756A"/>
        </w:rPr>
        <w:t xml:space="preserve">5.  Operations — qualification, receipt, storage and supply  ·  </w:t>
      </w:r>
      <w:r>
        <w:rPr>
          <w:rFonts w:ascii="Calibri" w:eastAsia="Calibri" w:hAnsi="Calibri"/>
          <w:color w:val="14756A"/>
          <w:rtl/>
        </w:rPr>
        <w:t>العمليات: التأهيل والاستلام والتخزين والتوريد</w:t>
      </w:r>
    </w:p>
    <w:p w14:paraId="6B4FCDF8" w14:textId="77777777" w:rsidR="00CD5946" w:rsidRDefault="00000000">
      <w:pPr>
        <w:spacing w:before="20" w:after="60"/>
        <w:jc w:val="both"/>
      </w:pPr>
      <w:r>
        <w:rPr>
          <w:rFonts w:ascii="Calibri" w:eastAsia="Calibri" w:hAnsi="Calibri"/>
          <w:b/>
          <w:color w:val="0E5A50"/>
          <w:sz w:val="20"/>
        </w:rPr>
        <w:t xml:space="preserve">A-GDP.5.1  </w:t>
      </w:r>
      <w:r>
        <w:rPr>
          <w:sz w:val="20"/>
        </w:rPr>
        <w:t>Suppliers and customers shall be qualified; products shall be obtained only from, and supplied only to, persons authorised to procure or supply medicines in the destination territory.</w:t>
      </w:r>
    </w:p>
    <w:p w14:paraId="6F9D9F2C" w14:textId="77777777" w:rsidR="00CD5946" w:rsidRDefault="00000000">
      <w:pPr>
        <w:bidi/>
        <w:spacing w:before="20" w:after="60"/>
        <w:jc w:val="both"/>
      </w:pPr>
      <w:r>
        <w:rPr>
          <w:rFonts w:ascii="Arial" w:eastAsia="Arial" w:hAnsi="Arial"/>
          <w:sz w:val="20"/>
          <w:rtl/>
        </w:rPr>
        <w:t xml:space="preserve">يُؤهَّل المورِّدون والعملاء، ولا تُقتنى المنتجات إلا من مخوَّلين ولا تُورَّد إلا لمخوَّلين باقتناء الأدوية أو توريدها في الإقليم المقصود.  </w:t>
      </w:r>
      <w:r>
        <w:rPr>
          <w:rFonts w:ascii="Calibri" w:eastAsia="Calibri" w:hAnsi="Calibri"/>
          <w:b/>
          <w:color w:val="14756A"/>
          <w:sz w:val="20"/>
        </w:rPr>
        <w:t>A-GDP.5.1</w:t>
      </w:r>
    </w:p>
    <w:p w14:paraId="0CF05366" w14:textId="77777777" w:rsidR="00CD5946" w:rsidRDefault="00000000">
      <w:pPr>
        <w:spacing w:before="20" w:after="60"/>
        <w:jc w:val="both"/>
      </w:pPr>
      <w:r>
        <w:rPr>
          <w:rFonts w:ascii="Calibri" w:eastAsia="Calibri" w:hAnsi="Calibri"/>
          <w:b/>
          <w:color w:val="0E5A50"/>
          <w:sz w:val="20"/>
        </w:rPr>
        <w:t xml:space="preserve">A-GDP.5.2  </w:t>
      </w:r>
      <w:r>
        <w:rPr>
          <w:sz w:val="20"/>
        </w:rPr>
        <w:t>On receipt, consignments shall be checked against the order for integrity, correct labelling and required transport conditions; stock rotation shall follow the first-expiry-first-out principle, and quarantined, rejected, returned, recalled or falsified products shall be physically or electronically segregated.</w:t>
      </w:r>
    </w:p>
    <w:p w14:paraId="7ABC1FA2" w14:textId="77777777" w:rsidR="00CD5946" w:rsidRDefault="00000000">
      <w:pPr>
        <w:bidi/>
        <w:spacing w:before="20" w:after="60"/>
        <w:jc w:val="both"/>
      </w:pPr>
      <w:r>
        <w:rPr>
          <w:rFonts w:ascii="Arial" w:eastAsia="Arial" w:hAnsi="Arial"/>
          <w:sz w:val="20"/>
          <w:rtl/>
        </w:rPr>
        <w:t xml:space="preserve">عند الاستلام، تُطابَق الشحنات مع الطلب من حيث السلامة وصحّة الوسم وظروف النقل المطلوبة، وتُدار الدورة وفق مبدأ «الأقرب انتهاءً يُصرَف أولاً»، وتُفصَل المنتجات المحجوزة والمرفوضة والمرتجَعة والمستدعاة والمزيّفة فعلياً أو إلكترونياً.  </w:t>
      </w:r>
      <w:r>
        <w:rPr>
          <w:rFonts w:ascii="Calibri" w:eastAsia="Calibri" w:hAnsi="Calibri"/>
          <w:b/>
          <w:color w:val="14756A"/>
          <w:sz w:val="20"/>
        </w:rPr>
        <w:t>A-GDP.5.2</w:t>
      </w:r>
    </w:p>
    <w:p w14:paraId="1E1670CE" w14:textId="77777777" w:rsidR="00CD5946" w:rsidRDefault="00000000">
      <w:pPr>
        <w:pStyle w:val="Heading2"/>
      </w:pPr>
      <w:bookmarkStart w:id="259" w:name="__RefHeading___Toc27263_1120453586"/>
      <w:bookmarkEnd w:id="259"/>
      <w:r>
        <w:rPr>
          <w:rFonts w:ascii="Calibri" w:eastAsia="Calibri" w:hAnsi="Calibri"/>
          <w:color w:val="14756A"/>
        </w:rPr>
        <w:t xml:space="preserve">6.  Complaints, returns, falsified products and recalls  ·  </w:t>
      </w:r>
      <w:r>
        <w:rPr>
          <w:rFonts w:ascii="Calibri" w:eastAsia="Calibri" w:hAnsi="Calibri"/>
          <w:color w:val="14756A"/>
          <w:rtl/>
        </w:rPr>
        <w:t>الشكاوى والمرتجَعات والمنتجات المزيّفة والاستدعاءات</w:t>
      </w:r>
    </w:p>
    <w:p w14:paraId="5DF2587D" w14:textId="77777777" w:rsidR="00CD5946" w:rsidRDefault="00000000">
      <w:pPr>
        <w:spacing w:before="20" w:after="60"/>
        <w:jc w:val="both"/>
      </w:pPr>
      <w:r>
        <w:rPr>
          <w:rFonts w:ascii="Calibri" w:eastAsia="Calibri" w:hAnsi="Calibri"/>
          <w:b/>
          <w:color w:val="0E5A50"/>
          <w:sz w:val="20"/>
        </w:rPr>
        <w:t xml:space="preserve">A-GDP.6.1  </w:t>
      </w:r>
      <w:r>
        <w:rPr>
          <w:sz w:val="20"/>
        </w:rPr>
        <w:t>There shall be procedures for handling complaints, for the assessment and return-to-saleable-stock of returned products only where defined conditions are met, and for the immediate quarantine and notification to the competent authority and manufacturer of any suspected falsified product.</w:t>
      </w:r>
    </w:p>
    <w:p w14:paraId="3539A274" w14:textId="77777777" w:rsidR="00CD5946" w:rsidRDefault="00000000">
      <w:pPr>
        <w:bidi/>
        <w:spacing w:before="20" w:after="60"/>
        <w:jc w:val="both"/>
      </w:pPr>
      <w:r>
        <w:rPr>
          <w:rFonts w:ascii="Arial" w:eastAsia="Arial" w:hAnsi="Arial"/>
          <w:sz w:val="20"/>
          <w:rtl/>
        </w:rPr>
        <w:t xml:space="preserve">تُوضَع إجراءات لمعالجة الشكاوى، ولتقييم المرتجَعات وإعادتها إلى المخزون القابل للبيع فقط عند استيفاء شروط محدَّدة، وللحجر الفوري للمنتج المشتبه بتزييفه وإبلاغ الجهة المختصّة والصانع.  </w:t>
      </w:r>
      <w:r>
        <w:rPr>
          <w:rFonts w:ascii="Calibri" w:eastAsia="Calibri" w:hAnsi="Calibri"/>
          <w:b/>
          <w:color w:val="14756A"/>
          <w:sz w:val="20"/>
        </w:rPr>
        <w:t>A-GDP.6.1</w:t>
      </w:r>
    </w:p>
    <w:p w14:paraId="7F1A1D52" w14:textId="77777777" w:rsidR="00CD5946" w:rsidRDefault="00000000">
      <w:pPr>
        <w:spacing w:before="20" w:after="60"/>
        <w:jc w:val="both"/>
      </w:pPr>
      <w:r>
        <w:rPr>
          <w:rFonts w:ascii="Calibri" w:eastAsia="Calibri" w:hAnsi="Calibri"/>
          <w:b/>
          <w:color w:val="0E5A50"/>
          <w:sz w:val="20"/>
        </w:rPr>
        <w:t xml:space="preserve">A-GDP.6.2  </w:t>
      </w:r>
      <w:r>
        <w:rPr>
          <w:sz w:val="20"/>
        </w:rPr>
        <w:t>An effective recall system shall be capable of being initiated promptly at any time and shall reach the relevant level of the distribution chain; recall effectiveness shall be tested periodically.</w:t>
      </w:r>
    </w:p>
    <w:p w14:paraId="27E3C32F" w14:textId="77777777" w:rsidR="00CD5946" w:rsidRDefault="00000000">
      <w:pPr>
        <w:bidi/>
        <w:spacing w:before="20" w:after="60"/>
        <w:jc w:val="both"/>
      </w:pPr>
      <w:r>
        <w:rPr>
          <w:rFonts w:ascii="Arial" w:eastAsia="Arial" w:hAnsi="Arial"/>
          <w:sz w:val="20"/>
          <w:rtl/>
        </w:rPr>
        <w:t xml:space="preserve">يكون نظام الاستدعاء فعّالاً قابلاً للتفعيل الفوري في أيّ وقت ويبلغ المستوى المعنيّ من سلسلة التوزيع، وتُختبَر فاعليّته دورياً.  </w:t>
      </w:r>
      <w:r>
        <w:rPr>
          <w:rFonts w:ascii="Calibri" w:eastAsia="Calibri" w:hAnsi="Calibri"/>
          <w:b/>
          <w:color w:val="14756A"/>
          <w:sz w:val="20"/>
        </w:rPr>
        <w:t>A-GDP.6.2</w:t>
      </w:r>
    </w:p>
    <w:p w14:paraId="67C3A73B" w14:textId="77777777" w:rsidR="00CD5946" w:rsidRDefault="00000000">
      <w:pPr>
        <w:pStyle w:val="Heading2"/>
      </w:pPr>
      <w:bookmarkStart w:id="260" w:name="__RefHeading___Toc27265_1120453586"/>
      <w:bookmarkEnd w:id="260"/>
      <w:r>
        <w:rPr>
          <w:rFonts w:ascii="Calibri" w:eastAsia="Calibri" w:hAnsi="Calibri"/>
          <w:color w:val="14756A"/>
        </w:rPr>
        <w:t xml:space="preserve">7.  Transportation and brokers  ·  </w:t>
      </w:r>
      <w:r>
        <w:rPr>
          <w:rFonts w:ascii="Calibri" w:eastAsia="Calibri" w:hAnsi="Calibri"/>
          <w:color w:val="14756A"/>
          <w:rtl/>
        </w:rPr>
        <w:t>النقل والوسطاء</w:t>
      </w:r>
    </w:p>
    <w:p w14:paraId="57F3755F" w14:textId="77777777" w:rsidR="00CD5946" w:rsidRDefault="00000000">
      <w:pPr>
        <w:spacing w:before="20" w:after="60"/>
        <w:jc w:val="both"/>
      </w:pPr>
      <w:r>
        <w:rPr>
          <w:rFonts w:ascii="Calibri" w:eastAsia="Calibri" w:hAnsi="Calibri"/>
          <w:b/>
          <w:color w:val="0E5A50"/>
          <w:sz w:val="20"/>
        </w:rPr>
        <w:t xml:space="preserve">A-GDP.7.1  </w:t>
      </w:r>
      <w:r>
        <w:rPr>
          <w:sz w:val="20"/>
        </w:rPr>
        <w:t>Transportation shall maintain the required conditions and the security of the product; the chosen route and equipment shall be justified, and shipments shall not be left unattended in uncontrolled conditions.</w:t>
      </w:r>
    </w:p>
    <w:p w14:paraId="31EAAFC7" w14:textId="77777777" w:rsidR="00CD5946" w:rsidRDefault="00000000">
      <w:pPr>
        <w:bidi/>
        <w:spacing w:before="20" w:after="60"/>
        <w:jc w:val="both"/>
      </w:pPr>
      <w:r>
        <w:rPr>
          <w:rFonts w:ascii="Arial" w:eastAsia="Arial" w:hAnsi="Arial"/>
          <w:sz w:val="20"/>
          <w:rtl/>
        </w:rPr>
        <w:t xml:space="preserve">يصون النقل الظروف المطلوبة وأمن المنتج، ويُبرَّر المسار والمعدّات المختارة، ولا تُترَك الشحنات دون رقابة في ظروف غير مضبوطة.  </w:t>
      </w:r>
      <w:r>
        <w:rPr>
          <w:rFonts w:ascii="Calibri" w:eastAsia="Calibri" w:hAnsi="Calibri"/>
          <w:b/>
          <w:color w:val="14756A"/>
          <w:sz w:val="20"/>
        </w:rPr>
        <w:t>A-GDP.7.1</w:t>
      </w:r>
    </w:p>
    <w:p w14:paraId="13663F36" w14:textId="77777777" w:rsidR="00CD5946" w:rsidRDefault="00000000">
      <w:pPr>
        <w:spacing w:before="20" w:after="60"/>
        <w:jc w:val="both"/>
      </w:pPr>
      <w:r>
        <w:rPr>
          <w:rFonts w:ascii="Calibri" w:eastAsia="Calibri" w:hAnsi="Calibri"/>
          <w:b/>
          <w:color w:val="0E5A50"/>
          <w:sz w:val="20"/>
        </w:rPr>
        <w:t xml:space="preserve">A-GDP.7.2  </w:t>
      </w:r>
      <w:r>
        <w:rPr>
          <w:sz w:val="20"/>
        </w:rPr>
        <w:t>Brokers who negotiate the sale or purchase of medicines without handling them shall be registered, operate a quality system proportionate to their activity, and maintain records ensuring traceability and the integrity of the chain.</w:t>
      </w:r>
    </w:p>
    <w:p w14:paraId="5493ACE5" w14:textId="77777777" w:rsidR="00CD5946" w:rsidRDefault="00000000">
      <w:pPr>
        <w:bidi/>
        <w:spacing w:before="20" w:after="60"/>
        <w:jc w:val="both"/>
      </w:pPr>
      <w:r>
        <w:rPr>
          <w:rFonts w:ascii="Arial" w:eastAsia="Arial" w:hAnsi="Arial"/>
          <w:sz w:val="20"/>
          <w:rtl/>
        </w:rPr>
        <w:t xml:space="preserve">يُسجَّل الوسطاء الذين يتفاوضون على بيع الأدوية أو شرائها دون مناولتها، ويُشغِّلون نظام جودة متناسباً مع نشاطهم، ويحفظون سجلّات تضمن التتبّع وسلامة السلسلة.  </w:t>
      </w:r>
      <w:r>
        <w:rPr>
          <w:rFonts w:ascii="Calibri" w:eastAsia="Calibri" w:hAnsi="Calibri"/>
          <w:b/>
          <w:color w:val="14756A"/>
          <w:sz w:val="20"/>
        </w:rPr>
        <w:t>A-GDP.7.2</w:t>
      </w:r>
    </w:p>
    <w:p w14:paraId="405CA276" w14:textId="77777777" w:rsidR="00CD5946" w:rsidRDefault="00000000">
      <w:pPr>
        <w:pStyle w:val="Heading2"/>
      </w:pPr>
      <w:bookmarkStart w:id="261" w:name="__RefHeading___Toc27267_1120453586"/>
      <w:bookmarkEnd w:id="261"/>
      <w:r>
        <w:rPr>
          <w:rFonts w:ascii="Calibri" w:eastAsia="Calibri" w:hAnsi="Calibri"/>
          <w:color w:val="14756A"/>
        </w:rPr>
        <w:lastRenderedPageBreak/>
        <w:t xml:space="preserve">8.  Glossary (Annex A-GDP)  ·  </w:t>
      </w:r>
      <w:r>
        <w:rPr>
          <w:rFonts w:ascii="Calibri" w:eastAsia="Calibri" w:hAnsi="Calibri"/>
          <w:color w:val="14756A"/>
          <w:rtl/>
        </w:rPr>
        <w:t>مسرد الملحق</w:t>
      </w:r>
      <w:r>
        <w:rPr>
          <w:rFonts w:ascii="Calibri" w:eastAsia="Calibri" w:hAnsi="Calibri"/>
          <w:color w:val="14756A"/>
        </w:rPr>
        <w:t xml:space="preserve"> A-GDP</w:t>
      </w:r>
    </w:p>
    <w:p w14:paraId="3CD15778" w14:textId="77777777" w:rsidR="00CD5946" w:rsidRDefault="00000000">
      <w:pPr>
        <w:spacing w:before="20" w:after="60"/>
        <w:jc w:val="both"/>
      </w:pPr>
      <w:r>
        <w:rPr>
          <w:b/>
          <w:color w:val="0E5A50"/>
          <w:sz w:val="20"/>
        </w:rPr>
        <w:t xml:space="preserve">Good Distribution Practice (GDP) — </w:t>
      </w:r>
      <w:r>
        <w:rPr>
          <w:sz w:val="20"/>
        </w:rPr>
        <w:t>That part of quality assurance ensuring that the quality of medicinal products is maintained throughout all stages of the supply chain from the manufacturer to the person dispensing or providing them to the patient.</w:t>
      </w:r>
    </w:p>
    <w:p w14:paraId="46155ED3" w14:textId="77777777" w:rsidR="00CD5946" w:rsidRDefault="00000000">
      <w:pPr>
        <w:spacing w:before="20" w:after="60"/>
        <w:jc w:val="both"/>
      </w:pPr>
      <w:r>
        <w:rPr>
          <w:b/>
          <w:color w:val="0E5A50"/>
          <w:sz w:val="20"/>
        </w:rPr>
        <w:t xml:space="preserve">Responsible Person — </w:t>
      </w:r>
      <w:r>
        <w:rPr>
          <w:sz w:val="20"/>
        </w:rPr>
        <w:t>The individual designated by a distributor with the authority and responsibility to ensure that a quality system is implemented and maintained.</w:t>
      </w:r>
    </w:p>
    <w:p w14:paraId="3CE3A263" w14:textId="77777777" w:rsidR="00CD5946" w:rsidRDefault="00000000">
      <w:pPr>
        <w:spacing w:before="20" w:after="60"/>
        <w:jc w:val="both"/>
      </w:pPr>
      <w:r>
        <w:rPr>
          <w:b/>
          <w:color w:val="0E5A50"/>
          <w:sz w:val="20"/>
        </w:rPr>
        <w:t xml:space="preserve">Cold chain — </w:t>
      </w:r>
      <w:r>
        <w:rPr>
          <w:sz w:val="20"/>
        </w:rPr>
        <w:t>The temperature-controlled supply chain (commonly 2–8 °C, or frozen) required to preserve the quality of temperature-sensitive products.</w:t>
      </w:r>
    </w:p>
    <w:p w14:paraId="03D992B9" w14:textId="77777777" w:rsidR="00CD5946" w:rsidRDefault="00000000">
      <w:pPr>
        <w:spacing w:before="20" w:after="60"/>
        <w:jc w:val="both"/>
      </w:pPr>
      <w:r>
        <w:rPr>
          <w:b/>
          <w:color w:val="0E5A50"/>
          <w:sz w:val="20"/>
        </w:rPr>
        <w:t xml:space="preserve">Falsified medicine — </w:t>
      </w:r>
      <w:r>
        <w:rPr>
          <w:sz w:val="20"/>
        </w:rPr>
        <w:t>A medicine with a false representation of its identity, source or history; falsified medicines are distinct from quality defects and shall be kept out of the legitimate supply chain.</w:t>
      </w:r>
    </w:p>
    <w:p w14:paraId="4CDE861E" w14:textId="77777777" w:rsidR="00CD5946" w:rsidRDefault="00000000">
      <w:pPr>
        <w:pStyle w:val="Heading1"/>
        <w:spacing w:before="0"/>
      </w:pPr>
      <w:bookmarkStart w:id="262" w:name="__RefHeading___Toc9661_1729075678"/>
      <w:bookmarkEnd w:id="262"/>
      <w:r>
        <w:t>Appendix A — Alignment with the ICH quality guidelines</w:t>
      </w:r>
    </w:p>
    <w:p w14:paraId="0FCC0E9C" w14:textId="77777777" w:rsidR="00CD5946" w:rsidRDefault="00000000">
      <w:pPr>
        <w:spacing w:after="110"/>
      </w:pPr>
      <w:r>
        <w:rPr>
          <w:rFonts w:ascii="Arial" w:eastAsia="Arial" w:hAnsi="Arial"/>
          <w:color w:val="1A1A1A"/>
        </w:rPr>
        <w:t>This guideline reflects the ICH quality guidelines as indicated below. The Working Group will track ICH revisions and update the corresponding clauses.</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1500"/>
        <w:gridCol w:w="3760"/>
        <w:gridCol w:w="4100"/>
      </w:tblGrid>
      <w:tr w:rsidR="00CD5946" w14:paraId="42B42FBE" w14:textId="77777777">
        <w:trPr>
          <w:tblHeader/>
        </w:trPr>
        <w:tc>
          <w:tcPr>
            <w:tcW w:w="1500" w:type="dxa"/>
            <w:tcBorders>
              <w:top w:val="single" w:sz="2" w:space="0" w:color="BFC9C0"/>
              <w:left w:val="single" w:sz="2" w:space="0" w:color="BFC9C0"/>
              <w:bottom w:val="single" w:sz="2" w:space="0" w:color="BFC9C0"/>
              <w:right w:val="single" w:sz="2" w:space="0" w:color="BFC9C0"/>
            </w:tcBorders>
            <w:shd w:val="clear" w:color="auto" w:fill="0E5A50"/>
          </w:tcPr>
          <w:p w14:paraId="225924C1" w14:textId="77777777" w:rsidR="00CD5946" w:rsidRDefault="00000000">
            <w:pPr>
              <w:spacing w:after="0"/>
            </w:pPr>
            <w:r>
              <w:rPr>
                <w:rFonts w:ascii="Arial" w:eastAsia="Arial" w:hAnsi="Arial"/>
                <w:b/>
                <w:bCs/>
                <w:color w:val="FAF7F2"/>
                <w:sz w:val="18"/>
                <w:szCs w:val="18"/>
              </w:rPr>
              <w:t>ICH</w:t>
            </w:r>
          </w:p>
        </w:tc>
        <w:tc>
          <w:tcPr>
            <w:tcW w:w="3760" w:type="dxa"/>
            <w:tcBorders>
              <w:top w:val="single" w:sz="2" w:space="0" w:color="BFC9C0"/>
              <w:left w:val="single" w:sz="2" w:space="0" w:color="BFC9C0"/>
              <w:bottom w:val="single" w:sz="2" w:space="0" w:color="BFC9C0"/>
              <w:right w:val="single" w:sz="2" w:space="0" w:color="BFC9C0"/>
            </w:tcBorders>
            <w:shd w:val="clear" w:color="auto" w:fill="0E5A50"/>
          </w:tcPr>
          <w:p w14:paraId="50E3CECA" w14:textId="77777777" w:rsidR="00CD5946" w:rsidRDefault="00000000">
            <w:pPr>
              <w:spacing w:after="0"/>
            </w:pPr>
            <w:r>
              <w:rPr>
                <w:rFonts w:ascii="Arial" w:eastAsia="Arial" w:hAnsi="Arial"/>
                <w:b/>
                <w:bCs/>
                <w:color w:val="FFFFFF"/>
                <w:sz w:val="18"/>
                <w:szCs w:val="18"/>
              </w:rPr>
              <w:t>Topic</w:t>
            </w:r>
          </w:p>
        </w:tc>
        <w:tc>
          <w:tcPr>
            <w:tcW w:w="4100" w:type="dxa"/>
            <w:tcBorders>
              <w:top w:val="single" w:sz="2" w:space="0" w:color="BFC9C0"/>
              <w:left w:val="single" w:sz="2" w:space="0" w:color="BFC9C0"/>
              <w:bottom w:val="single" w:sz="2" w:space="0" w:color="BFC9C0"/>
              <w:right w:val="single" w:sz="2" w:space="0" w:color="BFC9C0"/>
            </w:tcBorders>
            <w:shd w:val="clear" w:color="auto" w:fill="0E5A50"/>
          </w:tcPr>
          <w:p w14:paraId="4E80EA95" w14:textId="77777777" w:rsidR="00CD5946" w:rsidRDefault="00000000">
            <w:pPr>
              <w:spacing w:after="0"/>
            </w:pPr>
            <w:r>
              <w:rPr>
                <w:rFonts w:ascii="Arial" w:eastAsia="Arial" w:hAnsi="Arial"/>
                <w:b/>
                <w:bCs/>
                <w:color w:val="FFFFFF"/>
                <w:sz w:val="18"/>
                <w:szCs w:val="18"/>
              </w:rPr>
              <w:t>Where reflected in this guideline</w:t>
            </w:r>
          </w:p>
        </w:tc>
      </w:tr>
      <w:tr w:rsidR="00CD5946" w14:paraId="3BD9BA0F" w14:textId="77777777">
        <w:tc>
          <w:tcPr>
            <w:tcW w:w="1500" w:type="dxa"/>
            <w:tcBorders>
              <w:top w:val="single" w:sz="2" w:space="0" w:color="BFC9C0"/>
              <w:left w:val="single" w:sz="2" w:space="0" w:color="BFC9C0"/>
              <w:bottom w:val="single" w:sz="2" w:space="0" w:color="BFC9C0"/>
              <w:right w:val="single" w:sz="2" w:space="0" w:color="BFC9C0"/>
            </w:tcBorders>
            <w:shd w:val="clear" w:color="auto" w:fill="FFFFFF"/>
          </w:tcPr>
          <w:p w14:paraId="15986F28" w14:textId="77777777" w:rsidR="00CD5946" w:rsidRDefault="00000000">
            <w:pPr>
              <w:spacing w:after="0"/>
            </w:pPr>
            <w:r>
              <w:rPr>
                <w:rFonts w:ascii="Arial" w:eastAsia="Arial" w:hAnsi="Arial"/>
                <w:color w:val="1A1A1A"/>
                <w:sz w:val="18"/>
                <w:szCs w:val="18"/>
              </w:rPr>
              <w:t>Q1A(R2)/Q1B/Q1E</w:t>
            </w:r>
          </w:p>
        </w:tc>
        <w:tc>
          <w:tcPr>
            <w:tcW w:w="3760" w:type="dxa"/>
            <w:tcBorders>
              <w:top w:val="single" w:sz="2" w:space="0" w:color="BFC9C0"/>
              <w:left w:val="single" w:sz="2" w:space="0" w:color="BFC9C0"/>
              <w:bottom w:val="single" w:sz="2" w:space="0" w:color="BFC9C0"/>
              <w:right w:val="single" w:sz="2" w:space="0" w:color="BFC9C0"/>
            </w:tcBorders>
            <w:shd w:val="clear" w:color="auto" w:fill="FFFFFF"/>
          </w:tcPr>
          <w:p w14:paraId="13ED10EC" w14:textId="77777777" w:rsidR="00CD5946" w:rsidRDefault="00000000">
            <w:pPr>
              <w:spacing w:after="0"/>
            </w:pPr>
            <w:r>
              <w:rPr>
                <w:rFonts w:ascii="Arial" w:eastAsia="Arial" w:hAnsi="Arial"/>
                <w:color w:val="1A1A1A"/>
                <w:sz w:val="18"/>
                <w:szCs w:val="18"/>
              </w:rPr>
              <w:t>Stability testing &amp; evaluation; photostability</w:t>
            </w:r>
          </w:p>
        </w:tc>
        <w:tc>
          <w:tcPr>
            <w:tcW w:w="4100" w:type="dxa"/>
            <w:tcBorders>
              <w:top w:val="single" w:sz="2" w:space="0" w:color="BFC9C0"/>
              <w:left w:val="single" w:sz="2" w:space="0" w:color="BFC9C0"/>
              <w:bottom w:val="single" w:sz="2" w:space="0" w:color="BFC9C0"/>
              <w:right w:val="single" w:sz="2" w:space="0" w:color="BFC9C0"/>
            </w:tcBorders>
            <w:shd w:val="clear" w:color="auto" w:fill="FFFFFF"/>
          </w:tcPr>
          <w:p w14:paraId="08AEFAD7" w14:textId="77777777" w:rsidR="00CD5946" w:rsidRDefault="00000000">
            <w:pPr>
              <w:spacing w:after="0"/>
            </w:pPr>
            <w:r>
              <w:rPr>
                <w:rFonts w:ascii="Arial" w:eastAsia="Arial" w:hAnsi="Arial"/>
                <w:color w:val="1A1A1A"/>
                <w:sz w:val="18"/>
                <w:szCs w:val="18"/>
              </w:rPr>
              <w:t>Ch.6 ongoing stability; Appendix B (stability storage zones)</w:t>
            </w:r>
          </w:p>
        </w:tc>
      </w:tr>
      <w:tr w:rsidR="00CD5946" w14:paraId="55F77E00" w14:textId="77777777">
        <w:tc>
          <w:tcPr>
            <w:tcW w:w="1500" w:type="dxa"/>
            <w:tcBorders>
              <w:top w:val="single" w:sz="2" w:space="0" w:color="BFC9C0"/>
              <w:left w:val="single" w:sz="2" w:space="0" w:color="BFC9C0"/>
              <w:bottom w:val="single" w:sz="2" w:space="0" w:color="BFC9C0"/>
              <w:right w:val="single" w:sz="2" w:space="0" w:color="BFC9C0"/>
            </w:tcBorders>
            <w:shd w:val="clear" w:color="auto" w:fill="EEF3F1"/>
          </w:tcPr>
          <w:p w14:paraId="2AC3B4E1" w14:textId="77777777" w:rsidR="00CD5946" w:rsidRDefault="00000000">
            <w:pPr>
              <w:spacing w:after="0"/>
            </w:pPr>
            <w:r>
              <w:rPr>
                <w:rFonts w:ascii="Arial" w:eastAsia="Arial" w:hAnsi="Arial"/>
                <w:color w:val="1A1A1A"/>
                <w:sz w:val="18"/>
                <w:szCs w:val="18"/>
              </w:rPr>
              <w:t>Q2(R2)</w:t>
            </w:r>
          </w:p>
        </w:tc>
        <w:tc>
          <w:tcPr>
            <w:tcW w:w="3760" w:type="dxa"/>
            <w:tcBorders>
              <w:top w:val="single" w:sz="2" w:space="0" w:color="BFC9C0"/>
              <w:left w:val="single" w:sz="2" w:space="0" w:color="BFC9C0"/>
              <w:bottom w:val="single" w:sz="2" w:space="0" w:color="BFC9C0"/>
              <w:right w:val="single" w:sz="2" w:space="0" w:color="BFC9C0"/>
            </w:tcBorders>
            <w:shd w:val="clear" w:color="auto" w:fill="EEF3F1"/>
          </w:tcPr>
          <w:p w14:paraId="30FEF701" w14:textId="77777777" w:rsidR="00CD5946" w:rsidRDefault="00000000">
            <w:pPr>
              <w:spacing w:after="0"/>
            </w:pPr>
            <w:r>
              <w:rPr>
                <w:rFonts w:ascii="Arial" w:eastAsia="Arial" w:hAnsi="Arial"/>
                <w:color w:val="1A1A1A"/>
                <w:sz w:val="18"/>
                <w:szCs w:val="18"/>
              </w:rPr>
              <w:t>Validation of analytical procedures</w:t>
            </w:r>
          </w:p>
        </w:tc>
        <w:tc>
          <w:tcPr>
            <w:tcW w:w="4100" w:type="dxa"/>
            <w:tcBorders>
              <w:top w:val="single" w:sz="2" w:space="0" w:color="BFC9C0"/>
              <w:left w:val="single" w:sz="2" w:space="0" w:color="BFC9C0"/>
              <w:bottom w:val="single" w:sz="2" w:space="0" w:color="BFC9C0"/>
              <w:right w:val="single" w:sz="2" w:space="0" w:color="BFC9C0"/>
            </w:tcBorders>
            <w:shd w:val="clear" w:color="auto" w:fill="EEF3F1"/>
          </w:tcPr>
          <w:p w14:paraId="40569DFB" w14:textId="77777777" w:rsidR="00CD5946" w:rsidRDefault="00000000">
            <w:pPr>
              <w:spacing w:after="0"/>
            </w:pPr>
            <w:r>
              <w:rPr>
                <w:rFonts w:ascii="Arial" w:eastAsia="Arial" w:hAnsi="Arial"/>
                <w:color w:val="1A1A1A"/>
                <w:sz w:val="18"/>
                <w:szCs w:val="18"/>
              </w:rPr>
              <w:t>Ch.6; Annex 15</w:t>
            </w:r>
          </w:p>
        </w:tc>
      </w:tr>
      <w:tr w:rsidR="00CD5946" w14:paraId="44AF86A2" w14:textId="77777777">
        <w:tc>
          <w:tcPr>
            <w:tcW w:w="1500" w:type="dxa"/>
            <w:tcBorders>
              <w:top w:val="single" w:sz="2" w:space="0" w:color="BFC9C0"/>
              <w:left w:val="single" w:sz="2" w:space="0" w:color="BFC9C0"/>
              <w:bottom w:val="single" w:sz="2" w:space="0" w:color="BFC9C0"/>
              <w:right w:val="single" w:sz="2" w:space="0" w:color="BFC9C0"/>
            </w:tcBorders>
            <w:shd w:val="clear" w:color="auto" w:fill="FFFFFF"/>
          </w:tcPr>
          <w:p w14:paraId="12A99B59" w14:textId="77777777" w:rsidR="00CD5946" w:rsidRDefault="00000000">
            <w:pPr>
              <w:spacing w:after="0"/>
            </w:pPr>
            <w:r>
              <w:rPr>
                <w:rFonts w:ascii="Arial" w:eastAsia="Arial" w:hAnsi="Arial"/>
                <w:color w:val="1A1A1A"/>
                <w:sz w:val="18"/>
                <w:szCs w:val="18"/>
              </w:rPr>
              <w:t>Q3A/Q3B/Q3C/Q3D(R2)</w:t>
            </w:r>
          </w:p>
        </w:tc>
        <w:tc>
          <w:tcPr>
            <w:tcW w:w="3760" w:type="dxa"/>
            <w:tcBorders>
              <w:top w:val="single" w:sz="2" w:space="0" w:color="BFC9C0"/>
              <w:left w:val="single" w:sz="2" w:space="0" w:color="BFC9C0"/>
              <w:bottom w:val="single" w:sz="2" w:space="0" w:color="BFC9C0"/>
              <w:right w:val="single" w:sz="2" w:space="0" w:color="BFC9C0"/>
            </w:tcBorders>
            <w:shd w:val="clear" w:color="auto" w:fill="FFFFFF"/>
          </w:tcPr>
          <w:p w14:paraId="0FB9548A" w14:textId="77777777" w:rsidR="00CD5946" w:rsidRDefault="00000000">
            <w:pPr>
              <w:spacing w:after="0"/>
            </w:pPr>
            <w:r>
              <w:rPr>
                <w:rFonts w:ascii="Arial" w:eastAsia="Arial" w:hAnsi="Arial"/>
                <w:color w:val="1A1A1A"/>
                <w:sz w:val="18"/>
                <w:szCs w:val="18"/>
              </w:rPr>
              <w:t>Impurities; residual solvents; elemental impurities</w:t>
            </w:r>
          </w:p>
        </w:tc>
        <w:tc>
          <w:tcPr>
            <w:tcW w:w="4100" w:type="dxa"/>
            <w:tcBorders>
              <w:top w:val="single" w:sz="2" w:space="0" w:color="BFC9C0"/>
              <w:left w:val="single" w:sz="2" w:space="0" w:color="BFC9C0"/>
              <w:bottom w:val="single" w:sz="2" w:space="0" w:color="BFC9C0"/>
              <w:right w:val="single" w:sz="2" w:space="0" w:color="BFC9C0"/>
            </w:tcBorders>
            <w:shd w:val="clear" w:color="auto" w:fill="FFFFFF"/>
          </w:tcPr>
          <w:p w14:paraId="53ECF63E" w14:textId="77777777" w:rsidR="00CD5946" w:rsidRDefault="00000000">
            <w:pPr>
              <w:spacing w:after="0"/>
            </w:pPr>
            <w:r>
              <w:rPr>
                <w:rFonts w:ascii="Arial" w:eastAsia="Arial" w:hAnsi="Arial"/>
                <w:color w:val="1A1A1A"/>
                <w:sz w:val="18"/>
                <w:szCs w:val="18"/>
              </w:rPr>
              <w:t>Ch.6 specifications &amp; testing</w:t>
            </w:r>
          </w:p>
        </w:tc>
      </w:tr>
      <w:tr w:rsidR="00CD5946" w14:paraId="7D011BBA" w14:textId="77777777">
        <w:tc>
          <w:tcPr>
            <w:tcW w:w="1500" w:type="dxa"/>
            <w:tcBorders>
              <w:top w:val="single" w:sz="2" w:space="0" w:color="BFC9C0"/>
              <w:left w:val="single" w:sz="2" w:space="0" w:color="BFC9C0"/>
              <w:bottom w:val="single" w:sz="2" w:space="0" w:color="BFC9C0"/>
              <w:right w:val="single" w:sz="2" w:space="0" w:color="BFC9C0"/>
            </w:tcBorders>
            <w:shd w:val="clear" w:color="auto" w:fill="EEF3F1"/>
          </w:tcPr>
          <w:p w14:paraId="1CCCD417" w14:textId="77777777" w:rsidR="00CD5946" w:rsidRDefault="00000000">
            <w:pPr>
              <w:spacing w:after="0"/>
            </w:pPr>
            <w:r>
              <w:rPr>
                <w:rFonts w:ascii="Arial" w:eastAsia="Arial" w:hAnsi="Arial"/>
                <w:color w:val="1A1A1A"/>
                <w:sz w:val="18"/>
                <w:szCs w:val="18"/>
              </w:rPr>
              <w:t>Q5A(R2)–Q5E</w:t>
            </w:r>
          </w:p>
        </w:tc>
        <w:tc>
          <w:tcPr>
            <w:tcW w:w="3760" w:type="dxa"/>
            <w:tcBorders>
              <w:top w:val="single" w:sz="2" w:space="0" w:color="BFC9C0"/>
              <w:left w:val="single" w:sz="2" w:space="0" w:color="BFC9C0"/>
              <w:bottom w:val="single" w:sz="2" w:space="0" w:color="BFC9C0"/>
              <w:right w:val="single" w:sz="2" w:space="0" w:color="BFC9C0"/>
            </w:tcBorders>
            <w:shd w:val="clear" w:color="auto" w:fill="EEF3F1"/>
          </w:tcPr>
          <w:p w14:paraId="78F124A8" w14:textId="77777777" w:rsidR="00CD5946" w:rsidRDefault="00000000">
            <w:pPr>
              <w:spacing w:after="0"/>
            </w:pPr>
            <w:r>
              <w:rPr>
                <w:rFonts w:ascii="Arial" w:eastAsia="Arial" w:hAnsi="Arial"/>
                <w:color w:val="1A1A1A"/>
                <w:sz w:val="18"/>
                <w:szCs w:val="18"/>
              </w:rPr>
              <w:t>Biotechnological/biological quality; viral safety; comparability</w:t>
            </w:r>
          </w:p>
        </w:tc>
        <w:tc>
          <w:tcPr>
            <w:tcW w:w="4100" w:type="dxa"/>
            <w:tcBorders>
              <w:top w:val="single" w:sz="2" w:space="0" w:color="BFC9C0"/>
              <w:left w:val="single" w:sz="2" w:space="0" w:color="BFC9C0"/>
              <w:bottom w:val="single" w:sz="2" w:space="0" w:color="BFC9C0"/>
              <w:right w:val="single" w:sz="2" w:space="0" w:color="BFC9C0"/>
            </w:tcBorders>
            <w:shd w:val="clear" w:color="auto" w:fill="EEF3F1"/>
          </w:tcPr>
          <w:p w14:paraId="56184AF9" w14:textId="77777777" w:rsidR="00CD5946" w:rsidRDefault="00000000">
            <w:pPr>
              <w:spacing w:after="0"/>
            </w:pPr>
            <w:r>
              <w:rPr>
                <w:rFonts w:ascii="Arial" w:eastAsia="Arial" w:hAnsi="Arial"/>
                <w:color w:val="1A1A1A"/>
                <w:sz w:val="18"/>
                <w:szCs w:val="18"/>
              </w:rPr>
              <w:t>Annex 2B; Arab Annex A-BIO</w:t>
            </w:r>
          </w:p>
        </w:tc>
      </w:tr>
      <w:tr w:rsidR="00CD5946" w14:paraId="3F0F3AC2" w14:textId="77777777">
        <w:tc>
          <w:tcPr>
            <w:tcW w:w="1500" w:type="dxa"/>
            <w:tcBorders>
              <w:top w:val="single" w:sz="2" w:space="0" w:color="BFC9C0"/>
              <w:left w:val="single" w:sz="2" w:space="0" w:color="BFC9C0"/>
              <w:bottom w:val="single" w:sz="2" w:space="0" w:color="BFC9C0"/>
              <w:right w:val="single" w:sz="2" w:space="0" w:color="BFC9C0"/>
            </w:tcBorders>
            <w:shd w:val="clear" w:color="auto" w:fill="FFFFFF"/>
          </w:tcPr>
          <w:p w14:paraId="2E91B6A4" w14:textId="77777777" w:rsidR="00CD5946" w:rsidRDefault="00000000">
            <w:pPr>
              <w:spacing w:after="0"/>
            </w:pPr>
            <w:r>
              <w:rPr>
                <w:rFonts w:ascii="Arial" w:eastAsia="Arial" w:hAnsi="Arial"/>
                <w:color w:val="1A1A1A"/>
                <w:sz w:val="18"/>
                <w:szCs w:val="18"/>
              </w:rPr>
              <w:t>Q6A / Q6B</w:t>
            </w:r>
          </w:p>
        </w:tc>
        <w:tc>
          <w:tcPr>
            <w:tcW w:w="3760" w:type="dxa"/>
            <w:tcBorders>
              <w:top w:val="single" w:sz="2" w:space="0" w:color="BFC9C0"/>
              <w:left w:val="single" w:sz="2" w:space="0" w:color="BFC9C0"/>
              <w:bottom w:val="single" w:sz="2" w:space="0" w:color="BFC9C0"/>
              <w:right w:val="single" w:sz="2" w:space="0" w:color="BFC9C0"/>
            </w:tcBorders>
            <w:shd w:val="clear" w:color="auto" w:fill="FFFFFF"/>
          </w:tcPr>
          <w:p w14:paraId="27188606" w14:textId="77777777" w:rsidR="00CD5946" w:rsidRDefault="00000000">
            <w:pPr>
              <w:spacing w:after="0"/>
            </w:pPr>
            <w:r>
              <w:rPr>
                <w:rFonts w:ascii="Arial" w:eastAsia="Arial" w:hAnsi="Arial"/>
                <w:color w:val="1A1A1A"/>
                <w:sz w:val="18"/>
                <w:szCs w:val="18"/>
              </w:rPr>
              <w:t>Specifications (chemical / biological)</w:t>
            </w:r>
          </w:p>
        </w:tc>
        <w:tc>
          <w:tcPr>
            <w:tcW w:w="4100" w:type="dxa"/>
            <w:tcBorders>
              <w:top w:val="single" w:sz="2" w:space="0" w:color="BFC9C0"/>
              <w:left w:val="single" w:sz="2" w:space="0" w:color="BFC9C0"/>
              <w:bottom w:val="single" w:sz="2" w:space="0" w:color="BFC9C0"/>
              <w:right w:val="single" w:sz="2" w:space="0" w:color="BFC9C0"/>
            </w:tcBorders>
            <w:shd w:val="clear" w:color="auto" w:fill="FFFFFF"/>
          </w:tcPr>
          <w:p w14:paraId="72DA62DA" w14:textId="77777777" w:rsidR="00CD5946" w:rsidRDefault="00000000">
            <w:pPr>
              <w:spacing w:after="0"/>
            </w:pPr>
            <w:r>
              <w:rPr>
                <w:rFonts w:ascii="Arial" w:eastAsia="Arial" w:hAnsi="Arial"/>
                <w:color w:val="1A1A1A"/>
                <w:sz w:val="18"/>
                <w:szCs w:val="18"/>
              </w:rPr>
              <w:t>Ch.6; Annex 2B; A-BIO</w:t>
            </w:r>
          </w:p>
        </w:tc>
      </w:tr>
      <w:tr w:rsidR="00CD5946" w14:paraId="068CDAC8" w14:textId="77777777">
        <w:tc>
          <w:tcPr>
            <w:tcW w:w="1500" w:type="dxa"/>
            <w:tcBorders>
              <w:top w:val="single" w:sz="2" w:space="0" w:color="BFC9C0"/>
              <w:left w:val="single" w:sz="2" w:space="0" w:color="BFC9C0"/>
              <w:bottom w:val="single" w:sz="2" w:space="0" w:color="BFC9C0"/>
              <w:right w:val="single" w:sz="2" w:space="0" w:color="BFC9C0"/>
            </w:tcBorders>
            <w:shd w:val="clear" w:color="auto" w:fill="EEF3F1"/>
          </w:tcPr>
          <w:p w14:paraId="464DFE2A" w14:textId="77777777" w:rsidR="00CD5946" w:rsidRDefault="00000000">
            <w:pPr>
              <w:spacing w:after="0"/>
            </w:pPr>
            <w:r>
              <w:rPr>
                <w:rFonts w:ascii="Arial" w:eastAsia="Arial" w:hAnsi="Arial"/>
                <w:color w:val="1A1A1A"/>
                <w:sz w:val="18"/>
                <w:szCs w:val="18"/>
              </w:rPr>
              <w:t>Q7</w:t>
            </w:r>
          </w:p>
        </w:tc>
        <w:tc>
          <w:tcPr>
            <w:tcW w:w="3760" w:type="dxa"/>
            <w:tcBorders>
              <w:top w:val="single" w:sz="2" w:space="0" w:color="BFC9C0"/>
              <w:left w:val="single" w:sz="2" w:space="0" w:color="BFC9C0"/>
              <w:bottom w:val="single" w:sz="2" w:space="0" w:color="BFC9C0"/>
              <w:right w:val="single" w:sz="2" w:space="0" w:color="BFC9C0"/>
            </w:tcBorders>
            <w:shd w:val="clear" w:color="auto" w:fill="EEF3F1"/>
          </w:tcPr>
          <w:p w14:paraId="391C7B5B" w14:textId="77777777" w:rsidR="00CD5946" w:rsidRDefault="00000000">
            <w:pPr>
              <w:spacing w:after="0"/>
            </w:pPr>
            <w:r>
              <w:rPr>
                <w:rFonts w:ascii="Arial" w:eastAsia="Arial" w:hAnsi="Arial"/>
                <w:color w:val="1A1A1A"/>
                <w:sz w:val="18"/>
                <w:szCs w:val="18"/>
              </w:rPr>
              <w:t>GMP for active pharmaceutical ingredients</w:t>
            </w:r>
          </w:p>
        </w:tc>
        <w:tc>
          <w:tcPr>
            <w:tcW w:w="4100" w:type="dxa"/>
            <w:tcBorders>
              <w:top w:val="single" w:sz="2" w:space="0" w:color="BFC9C0"/>
              <w:left w:val="single" w:sz="2" w:space="0" w:color="BFC9C0"/>
              <w:bottom w:val="single" w:sz="2" w:space="0" w:color="BFC9C0"/>
              <w:right w:val="single" w:sz="2" w:space="0" w:color="BFC9C0"/>
            </w:tcBorders>
            <w:shd w:val="clear" w:color="auto" w:fill="EEF3F1"/>
          </w:tcPr>
          <w:p w14:paraId="14B533B1" w14:textId="77777777" w:rsidR="00CD5946" w:rsidRDefault="00000000">
            <w:pPr>
              <w:spacing w:after="0"/>
            </w:pPr>
            <w:r>
              <w:rPr>
                <w:rFonts w:ascii="Arial" w:eastAsia="Arial" w:hAnsi="Arial"/>
                <w:color w:val="1A1A1A"/>
                <w:sz w:val="18"/>
                <w:szCs w:val="18"/>
              </w:rPr>
              <w:t>Part II</w:t>
            </w:r>
          </w:p>
        </w:tc>
      </w:tr>
      <w:tr w:rsidR="00CD5946" w14:paraId="3B31AF34" w14:textId="77777777">
        <w:tc>
          <w:tcPr>
            <w:tcW w:w="1500" w:type="dxa"/>
            <w:tcBorders>
              <w:top w:val="single" w:sz="2" w:space="0" w:color="BFC9C0"/>
              <w:left w:val="single" w:sz="2" w:space="0" w:color="BFC9C0"/>
              <w:bottom w:val="single" w:sz="2" w:space="0" w:color="BFC9C0"/>
              <w:right w:val="single" w:sz="2" w:space="0" w:color="BFC9C0"/>
            </w:tcBorders>
            <w:shd w:val="clear" w:color="auto" w:fill="FFFFFF"/>
          </w:tcPr>
          <w:p w14:paraId="64B1D716" w14:textId="77777777" w:rsidR="00CD5946" w:rsidRDefault="00000000">
            <w:pPr>
              <w:spacing w:after="0"/>
            </w:pPr>
            <w:r>
              <w:rPr>
                <w:rFonts w:ascii="Arial" w:eastAsia="Arial" w:hAnsi="Arial"/>
                <w:color w:val="1A1A1A"/>
                <w:sz w:val="18"/>
                <w:szCs w:val="18"/>
              </w:rPr>
              <w:t>Q8(R2)</w:t>
            </w:r>
          </w:p>
        </w:tc>
        <w:tc>
          <w:tcPr>
            <w:tcW w:w="3760" w:type="dxa"/>
            <w:tcBorders>
              <w:top w:val="single" w:sz="2" w:space="0" w:color="BFC9C0"/>
              <w:left w:val="single" w:sz="2" w:space="0" w:color="BFC9C0"/>
              <w:bottom w:val="single" w:sz="2" w:space="0" w:color="BFC9C0"/>
              <w:right w:val="single" w:sz="2" w:space="0" w:color="BFC9C0"/>
            </w:tcBorders>
            <w:shd w:val="clear" w:color="auto" w:fill="FFFFFF"/>
          </w:tcPr>
          <w:p w14:paraId="15955C2F" w14:textId="77777777" w:rsidR="00CD5946" w:rsidRDefault="00000000">
            <w:pPr>
              <w:spacing w:after="0"/>
            </w:pPr>
            <w:r>
              <w:rPr>
                <w:rFonts w:ascii="Arial" w:eastAsia="Arial" w:hAnsi="Arial"/>
                <w:color w:val="1A1A1A"/>
                <w:sz w:val="18"/>
                <w:szCs w:val="18"/>
              </w:rPr>
              <w:t>Pharmaceutical development (QbD)</w:t>
            </w:r>
          </w:p>
        </w:tc>
        <w:tc>
          <w:tcPr>
            <w:tcW w:w="4100" w:type="dxa"/>
            <w:tcBorders>
              <w:top w:val="single" w:sz="2" w:space="0" w:color="BFC9C0"/>
              <w:left w:val="single" w:sz="2" w:space="0" w:color="BFC9C0"/>
              <w:bottom w:val="single" w:sz="2" w:space="0" w:color="BFC9C0"/>
              <w:right w:val="single" w:sz="2" w:space="0" w:color="BFC9C0"/>
            </w:tcBorders>
            <w:shd w:val="clear" w:color="auto" w:fill="FFFFFF"/>
          </w:tcPr>
          <w:p w14:paraId="1DFE2DD9" w14:textId="77777777" w:rsidR="00CD5946" w:rsidRDefault="00000000">
            <w:pPr>
              <w:spacing w:after="0"/>
            </w:pPr>
            <w:r>
              <w:rPr>
                <w:rFonts w:ascii="Arial" w:eastAsia="Arial" w:hAnsi="Arial"/>
                <w:color w:val="1A1A1A"/>
                <w:sz w:val="18"/>
                <w:szCs w:val="18"/>
              </w:rPr>
              <w:t>Part III; Section 2 (conceptual architecture)</w:t>
            </w:r>
          </w:p>
        </w:tc>
      </w:tr>
      <w:tr w:rsidR="00CD5946" w14:paraId="7352656C" w14:textId="77777777">
        <w:tc>
          <w:tcPr>
            <w:tcW w:w="1500" w:type="dxa"/>
            <w:tcBorders>
              <w:top w:val="single" w:sz="2" w:space="0" w:color="BFC9C0"/>
              <w:left w:val="single" w:sz="2" w:space="0" w:color="BFC9C0"/>
              <w:bottom w:val="single" w:sz="2" w:space="0" w:color="BFC9C0"/>
              <w:right w:val="single" w:sz="2" w:space="0" w:color="BFC9C0"/>
            </w:tcBorders>
            <w:shd w:val="clear" w:color="auto" w:fill="EEF3F1"/>
          </w:tcPr>
          <w:p w14:paraId="7C1B41C4" w14:textId="77777777" w:rsidR="00CD5946" w:rsidRDefault="00000000">
            <w:pPr>
              <w:spacing w:after="0"/>
            </w:pPr>
            <w:r>
              <w:rPr>
                <w:rFonts w:ascii="Arial" w:eastAsia="Arial" w:hAnsi="Arial"/>
                <w:color w:val="1A1A1A"/>
                <w:sz w:val="18"/>
                <w:szCs w:val="18"/>
              </w:rPr>
              <w:t>Q9(R1)</w:t>
            </w:r>
          </w:p>
        </w:tc>
        <w:tc>
          <w:tcPr>
            <w:tcW w:w="3760" w:type="dxa"/>
            <w:tcBorders>
              <w:top w:val="single" w:sz="2" w:space="0" w:color="BFC9C0"/>
              <w:left w:val="single" w:sz="2" w:space="0" w:color="BFC9C0"/>
              <w:bottom w:val="single" w:sz="2" w:space="0" w:color="BFC9C0"/>
              <w:right w:val="single" w:sz="2" w:space="0" w:color="BFC9C0"/>
            </w:tcBorders>
            <w:shd w:val="clear" w:color="auto" w:fill="EEF3F1"/>
          </w:tcPr>
          <w:p w14:paraId="3CB70147" w14:textId="77777777" w:rsidR="00CD5946" w:rsidRDefault="00000000">
            <w:pPr>
              <w:spacing w:after="0"/>
            </w:pPr>
            <w:r>
              <w:rPr>
                <w:rFonts w:ascii="Arial" w:eastAsia="Arial" w:hAnsi="Arial"/>
                <w:color w:val="1A1A1A"/>
                <w:sz w:val="18"/>
                <w:szCs w:val="18"/>
              </w:rPr>
              <w:t>Quality Risk Management</w:t>
            </w:r>
          </w:p>
        </w:tc>
        <w:tc>
          <w:tcPr>
            <w:tcW w:w="4100" w:type="dxa"/>
            <w:tcBorders>
              <w:top w:val="single" w:sz="2" w:space="0" w:color="BFC9C0"/>
              <w:left w:val="single" w:sz="2" w:space="0" w:color="BFC9C0"/>
              <w:bottom w:val="single" w:sz="2" w:space="0" w:color="BFC9C0"/>
              <w:right w:val="single" w:sz="2" w:space="0" w:color="BFC9C0"/>
            </w:tcBorders>
            <w:shd w:val="clear" w:color="auto" w:fill="EEF3F1"/>
          </w:tcPr>
          <w:p w14:paraId="53B8CB0C" w14:textId="77777777" w:rsidR="00CD5946" w:rsidRDefault="00000000">
            <w:pPr>
              <w:spacing w:after="0"/>
            </w:pPr>
            <w:r>
              <w:rPr>
                <w:rFonts w:ascii="Arial" w:eastAsia="Arial" w:hAnsi="Arial"/>
                <w:color w:val="1A1A1A"/>
                <w:sz w:val="18"/>
                <w:szCs w:val="18"/>
              </w:rPr>
              <w:t>Ch.1.5; Part III.2; applied throughout</w:t>
            </w:r>
          </w:p>
        </w:tc>
      </w:tr>
      <w:tr w:rsidR="00CD5946" w14:paraId="77596255" w14:textId="77777777">
        <w:tc>
          <w:tcPr>
            <w:tcW w:w="1500" w:type="dxa"/>
            <w:tcBorders>
              <w:top w:val="single" w:sz="2" w:space="0" w:color="BFC9C0"/>
              <w:left w:val="single" w:sz="2" w:space="0" w:color="BFC9C0"/>
              <w:bottom w:val="single" w:sz="2" w:space="0" w:color="BFC9C0"/>
              <w:right w:val="single" w:sz="2" w:space="0" w:color="BFC9C0"/>
            </w:tcBorders>
            <w:shd w:val="clear" w:color="auto" w:fill="FFFFFF"/>
          </w:tcPr>
          <w:p w14:paraId="3B09C6D0" w14:textId="77777777" w:rsidR="00CD5946" w:rsidRDefault="00000000">
            <w:pPr>
              <w:spacing w:after="0"/>
            </w:pPr>
            <w:r>
              <w:rPr>
                <w:rFonts w:ascii="Arial" w:eastAsia="Arial" w:hAnsi="Arial"/>
                <w:color w:val="1A1A1A"/>
                <w:sz w:val="18"/>
                <w:szCs w:val="18"/>
              </w:rPr>
              <w:t>Q10</w:t>
            </w:r>
          </w:p>
        </w:tc>
        <w:tc>
          <w:tcPr>
            <w:tcW w:w="3760" w:type="dxa"/>
            <w:tcBorders>
              <w:top w:val="single" w:sz="2" w:space="0" w:color="BFC9C0"/>
              <w:left w:val="single" w:sz="2" w:space="0" w:color="BFC9C0"/>
              <w:bottom w:val="single" w:sz="2" w:space="0" w:color="BFC9C0"/>
              <w:right w:val="single" w:sz="2" w:space="0" w:color="BFC9C0"/>
            </w:tcBorders>
            <w:shd w:val="clear" w:color="auto" w:fill="FFFFFF"/>
          </w:tcPr>
          <w:p w14:paraId="011CE6AB" w14:textId="77777777" w:rsidR="00CD5946" w:rsidRDefault="00000000">
            <w:pPr>
              <w:spacing w:after="0"/>
            </w:pPr>
            <w:r>
              <w:rPr>
                <w:rFonts w:ascii="Arial" w:eastAsia="Arial" w:hAnsi="Arial"/>
                <w:color w:val="1A1A1A"/>
                <w:sz w:val="18"/>
                <w:szCs w:val="18"/>
              </w:rPr>
              <w:t>Pharmaceutical Quality System</w:t>
            </w:r>
          </w:p>
        </w:tc>
        <w:tc>
          <w:tcPr>
            <w:tcW w:w="4100" w:type="dxa"/>
            <w:tcBorders>
              <w:top w:val="single" w:sz="2" w:space="0" w:color="BFC9C0"/>
              <w:left w:val="single" w:sz="2" w:space="0" w:color="BFC9C0"/>
              <w:bottom w:val="single" w:sz="2" w:space="0" w:color="BFC9C0"/>
              <w:right w:val="single" w:sz="2" w:space="0" w:color="BFC9C0"/>
            </w:tcBorders>
            <w:shd w:val="clear" w:color="auto" w:fill="FFFFFF"/>
          </w:tcPr>
          <w:p w14:paraId="4CC9DE13" w14:textId="77777777" w:rsidR="00CD5946" w:rsidRDefault="00000000">
            <w:pPr>
              <w:spacing w:after="0"/>
            </w:pPr>
            <w:r>
              <w:rPr>
                <w:rFonts w:ascii="Arial" w:eastAsia="Arial" w:hAnsi="Arial"/>
                <w:color w:val="1A1A1A"/>
                <w:sz w:val="18"/>
                <w:szCs w:val="18"/>
              </w:rPr>
              <w:t>Ch.1; Part III.3</w:t>
            </w:r>
          </w:p>
        </w:tc>
      </w:tr>
      <w:tr w:rsidR="00CD5946" w14:paraId="01083BF7" w14:textId="77777777">
        <w:tc>
          <w:tcPr>
            <w:tcW w:w="1500" w:type="dxa"/>
            <w:tcBorders>
              <w:top w:val="single" w:sz="2" w:space="0" w:color="BFC9C0"/>
              <w:left w:val="single" w:sz="2" w:space="0" w:color="BFC9C0"/>
              <w:bottom w:val="single" w:sz="2" w:space="0" w:color="BFC9C0"/>
              <w:right w:val="single" w:sz="2" w:space="0" w:color="BFC9C0"/>
            </w:tcBorders>
            <w:shd w:val="clear" w:color="auto" w:fill="EEF3F1"/>
          </w:tcPr>
          <w:p w14:paraId="3B1E3D9B" w14:textId="77777777" w:rsidR="00CD5946" w:rsidRDefault="00000000">
            <w:pPr>
              <w:spacing w:after="0"/>
            </w:pPr>
            <w:r>
              <w:rPr>
                <w:rFonts w:ascii="Arial" w:eastAsia="Arial" w:hAnsi="Arial"/>
                <w:color w:val="1A1A1A"/>
                <w:sz w:val="18"/>
                <w:szCs w:val="18"/>
              </w:rPr>
              <w:t>Q11</w:t>
            </w:r>
          </w:p>
        </w:tc>
        <w:tc>
          <w:tcPr>
            <w:tcW w:w="3760" w:type="dxa"/>
            <w:tcBorders>
              <w:top w:val="single" w:sz="2" w:space="0" w:color="BFC9C0"/>
              <w:left w:val="single" w:sz="2" w:space="0" w:color="BFC9C0"/>
              <w:bottom w:val="single" w:sz="2" w:space="0" w:color="BFC9C0"/>
              <w:right w:val="single" w:sz="2" w:space="0" w:color="BFC9C0"/>
            </w:tcBorders>
            <w:shd w:val="clear" w:color="auto" w:fill="EEF3F1"/>
          </w:tcPr>
          <w:p w14:paraId="122E3E59" w14:textId="77777777" w:rsidR="00CD5946" w:rsidRDefault="00000000">
            <w:pPr>
              <w:spacing w:after="0"/>
            </w:pPr>
            <w:r>
              <w:rPr>
                <w:rFonts w:ascii="Arial" w:eastAsia="Arial" w:hAnsi="Arial"/>
                <w:color w:val="1A1A1A"/>
                <w:sz w:val="18"/>
                <w:szCs w:val="18"/>
              </w:rPr>
              <w:t>Development &amp; manufacture of drug substances</w:t>
            </w:r>
          </w:p>
        </w:tc>
        <w:tc>
          <w:tcPr>
            <w:tcW w:w="4100" w:type="dxa"/>
            <w:tcBorders>
              <w:top w:val="single" w:sz="2" w:space="0" w:color="BFC9C0"/>
              <w:left w:val="single" w:sz="2" w:space="0" w:color="BFC9C0"/>
              <w:bottom w:val="single" w:sz="2" w:space="0" w:color="BFC9C0"/>
              <w:right w:val="single" w:sz="2" w:space="0" w:color="BFC9C0"/>
            </w:tcBorders>
            <w:shd w:val="clear" w:color="auto" w:fill="EEF3F1"/>
          </w:tcPr>
          <w:p w14:paraId="131AAA69" w14:textId="77777777" w:rsidR="00CD5946" w:rsidRDefault="00000000">
            <w:pPr>
              <w:spacing w:after="0"/>
            </w:pPr>
            <w:r>
              <w:rPr>
                <w:rFonts w:ascii="Arial" w:eastAsia="Arial" w:hAnsi="Arial"/>
                <w:color w:val="1A1A1A"/>
                <w:sz w:val="18"/>
                <w:szCs w:val="18"/>
              </w:rPr>
              <w:t>Part II; Annex 2B</w:t>
            </w:r>
          </w:p>
        </w:tc>
      </w:tr>
      <w:tr w:rsidR="00CD5946" w14:paraId="43C91F8A" w14:textId="77777777">
        <w:tc>
          <w:tcPr>
            <w:tcW w:w="1500" w:type="dxa"/>
            <w:tcBorders>
              <w:top w:val="single" w:sz="2" w:space="0" w:color="BFC9C0"/>
              <w:left w:val="single" w:sz="2" w:space="0" w:color="BFC9C0"/>
              <w:bottom w:val="single" w:sz="2" w:space="0" w:color="BFC9C0"/>
              <w:right w:val="single" w:sz="2" w:space="0" w:color="BFC9C0"/>
            </w:tcBorders>
            <w:shd w:val="clear" w:color="auto" w:fill="FFFFFF"/>
          </w:tcPr>
          <w:p w14:paraId="33F12096" w14:textId="77777777" w:rsidR="00CD5946" w:rsidRDefault="00000000">
            <w:pPr>
              <w:spacing w:after="0"/>
            </w:pPr>
            <w:r>
              <w:rPr>
                <w:rFonts w:ascii="Arial" w:eastAsia="Arial" w:hAnsi="Arial"/>
                <w:color w:val="1A1A1A"/>
                <w:sz w:val="18"/>
                <w:szCs w:val="18"/>
              </w:rPr>
              <w:t>Q12</w:t>
            </w:r>
          </w:p>
        </w:tc>
        <w:tc>
          <w:tcPr>
            <w:tcW w:w="3760" w:type="dxa"/>
            <w:tcBorders>
              <w:top w:val="single" w:sz="2" w:space="0" w:color="BFC9C0"/>
              <w:left w:val="single" w:sz="2" w:space="0" w:color="BFC9C0"/>
              <w:bottom w:val="single" w:sz="2" w:space="0" w:color="BFC9C0"/>
              <w:right w:val="single" w:sz="2" w:space="0" w:color="BFC9C0"/>
            </w:tcBorders>
            <w:shd w:val="clear" w:color="auto" w:fill="FFFFFF"/>
          </w:tcPr>
          <w:p w14:paraId="447BFAA0" w14:textId="77777777" w:rsidR="00CD5946" w:rsidRDefault="00000000">
            <w:pPr>
              <w:spacing w:after="0"/>
            </w:pPr>
            <w:r>
              <w:rPr>
                <w:rFonts w:ascii="Arial" w:eastAsia="Arial" w:hAnsi="Arial"/>
                <w:color w:val="1A1A1A"/>
                <w:sz w:val="18"/>
                <w:szCs w:val="18"/>
              </w:rPr>
              <w:t>Lifecycle management</w:t>
            </w:r>
          </w:p>
        </w:tc>
        <w:tc>
          <w:tcPr>
            <w:tcW w:w="4100" w:type="dxa"/>
            <w:tcBorders>
              <w:top w:val="single" w:sz="2" w:space="0" w:color="BFC9C0"/>
              <w:left w:val="single" w:sz="2" w:space="0" w:color="BFC9C0"/>
              <w:bottom w:val="single" w:sz="2" w:space="0" w:color="BFC9C0"/>
              <w:right w:val="single" w:sz="2" w:space="0" w:color="BFC9C0"/>
            </w:tcBorders>
            <w:shd w:val="clear" w:color="auto" w:fill="FFFFFF"/>
          </w:tcPr>
          <w:p w14:paraId="634AB330" w14:textId="77777777" w:rsidR="00CD5946" w:rsidRDefault="00000000">
            <w:pPr>
              <w:spacing w:after="0"/>
            </w:pPr>
            <w:r>
              <w:rPr>
                <w:rFonts w:ascii="Arial" w:eastAsia="Arial" w:hAnsi="Arial"/>
                <w:color w:val="1A1A1A"/>
                <w:sz w:val="18"/>
                <w:szCs w:val="18"/>
              </w:rPr>
              <w:t>Part III; Annex 15 (continued process verification)</w:t>
            </w:r>
          </w:p>
        </w:tc>
      </w:tr>
      <w:tr w:rsidR="00CD5946" w14:paraId="076BB3FB" w14:textId="77777777">
        <w:tc>
          <w:tcPr>
            <w:tcW w:w="1500" w:type="dxa"/>
            <w:tcBorders>
              <w:top w:val="single" w:sz="2" w:space="0" w:color="BFC9C0"/>
              <w:left w:val="single" w:sz="2" w:space="0" w:color="BFC9C0"/>
              <w:bottom w:val="single" w:sz="2" w:space="0" w:color="BFC9C0"/>
              <w:right w:val="single" w:sz="2" w:space="0" w:color="BFC9C0"/>
            </w:tcBorders>
            <w:shd w:val="clear" w:color="auto" w:fill="EEF3F1"/>
          </w:tcPr>
          <w:p w14:paraId="15CBC894" w14:textId="77777777" w:rsidR="00CD5946" w:rsidRDefault="00000000">
            <w:pPr>
              <w:spacing w:after="0"/>
            </w:pPr>
            <w:r>
              <w:rPr>
                <w:rFonts w:ascii="Arial" w:eastAsia="Arial" w:hAnsi="Arial"/>
                <w:color w:val="1A1A1A"/>
                <w:sz w:val="18"/>
                <w:szCs w:val="18"/>
              </w:rPr>
              <w:t>Q13</w:t>
            </w:r>
          </w:p>
        </w:tc>
        <w:tc>
          <w:tcPr>
            <w:tcW w:w="3760" w:type="dxa"/>
            <w:tcBorders>
              <w:top w:val="single" w:sz="2" w:space="0" w:color="BFC9C0"/>
              <w:left w:val="single" w:sz="2" w:space="0" w:color="BFC9C0"/>
              <w:bottom w:val="single" w:sz="2" w:space="0" w:color="BFC9C0"/>
              <w:right w:val="single" w:sz="2" w:space="0" w:color="BFC9C0"/>
            </w:tcBorders>
            <w:shd w:val="clear" w:color="auto" w:fill="EEF3F1"/>
          </w:tcPr>
          <w:p w14:paraId="45DA8844" w14:textId="77777777" w:rsidR="00CD5946" w:rsidRDefault="00000000">
            <w:pPr>
              <w:spacing w:after="0"/>
            </w:pPr>
            <w:r>
              <w:rPr>
                <w:rFonts w:ascii="Arial" w:eastAsia="Arial" w:hAnsi="Arial"/>
                <w:color w:val="1A1A1A"/>
                <w:sz w:val="18"/>
                <w:szCs w:val="18"/>
              </w:rPr>
              <w:t>Continuous manufacturing</w:t>
            </w:r>
          </w:p>
        </w:tc>
        <w:tc>
          <w:tcPr>
            <w:tcW w:w="4100" w:type="dxa"/>
            <w:tcBorders>
              <w:top w:val="single" w:sz="2" w:space="0" w:color="BFC9C0"/>
              <w:left w:val="single" w:sz="2" w:space="0" w:color="BFC9C0"/>
              <w:bottom w:val="single" w:sz="2" w:space="0" w:color="BFC9C0"/>
              <w:right w:val="single" w:sz="2" w:space="0" w:color="BFC9C0"/>
            </w:tcBorders>
            <w:shd w:val="clear" w:color="auto" w:fill="EEF3F1"/>
          </w:tcPr>
          <w:p w14:paraId="6BAA82E0" w14:textId="77777777" w:rsidR="00CD5946" w:rsidRDefault="00000000">
            <w:pPr>
              <w:spacing w:after="0"/>
            </w:pPr>
            <w:r>
              <w:rPr>
                <w:rFonts w:ascii="Arial" w:eastAsia="Arial" w:hAnsi="Arial"/>
                <w:color w:val="1A1A1A"/>
                <w:sz w:val="18"/>
                <w:szCs w:val="18"/>
              </w:rPr>
              <w:t>Annex 15; Annex 17 (control strategy)</w:t>
            </w:r>
          </w:p>
        </w:tc>
      </w:tr>
      <w:tr w:rsidR="00CD5946" w14:paraId="02D50D4C" w14:textId="77777777">
        <w:tc>
          <w:tcPr>
            <w:tcW w:w="1500" w:type="dxa"/>
            <w:tcBorders>
              <w:top w:val="single" w:sz="2" w:space="0" w:color="BFC9C0"/>
              <w:left w:val="single" w:sz="2" w:space="0" w:color="BFC9C0"/>
              <w:bottom w:val="single" w:sz="2" w:space="0" w:color="BFC9C0"/>
              <w:right w:val="single" w:sz="2" w:space="0" w:color="BFC9C0"/>
            </w:tcBorders>
            <w:shd w:val="clear" w:color="auto" w:fill="FFFFFF"/>
          </w:tcPr>
          <w:p w14:paraId="49E4472D" w14:textId="77777777" w:rsidR="00CD5946" w:rsidRDefault="00000000">
            <w:pPr>
              <w:spacing w:after="0"/>
            </w:pPr>
            <w:r>
              <w:rPr>
                <w:rFonts w:ascii="Arial" w:eastAsia="Arial" w:hAnsi="Arial"/>
                <w:color w:val="1A1A1A"/>
                <w:sz w:val="18"/>
                <w:szCs w:val="18"/>
              </w:rPr>
              <w:t>Q14</w:t>
            </w:r>
          </w:p>
        </w:tc>
        <w:tc>
          <w:tcPr>
            <w:tcW w:w="3760" w:type="dxa"/>
            <w:tcBorders>
              <w:top w:val="single" w:sz="2" w:space="0" w:color="BFC9C0"/>
              <w:left w:val="single" w:sz="2" w:space="0" w:color="BFC9C0"/>
              <w:bottom w:val="single" w:sz="2" w:space="0" w:color="BFC9C0"/>
              <w:right w:val="single" w:sz="2" w:space="0" w:color="BFC9C0"/>
            </w:tcBorders>
            <w:shd w:val="clear" w:color="auto" w:fill="FFFFFF"/>
          </w:tcPr>
          <w:p w14:paraId="558B5C84" w14:textId="77777777" w:rsidR="00CD5946" w:rsidRDefault="00000000">
            <w:pPr>
              <w:spacing w:after="0"/>
            </w:pPr>
            <w:r>
              <w:rPr>
                <w:rFonts w:ascii="Arial" w:eastAsia="Arial" w:hAnsi="Arial"/>
                <w:color w:val="1A1A1A"/>
                <w:sz w:val="18"/>
                <w:szCs w:val="18"/>
              </w:rPr>
              <w:t>Analytical procedure development</w:t>
            </w:r>
          </w:p>
        </w:tc>
        <w:tc>
          <w:tcPr>
            <w:tcW w:w="4100" w:type="dxa"/>
            <w:tcBorders>
              <w:top w:val="single" w:sz="2" w:space="0" w:color="BFC9C0"/>
              <w:left w:val="single" w:sz="2" w:space="0" w:color="BFC9C0"/>
              <w:bottom w:val="single" w:sz="2" w:space="0" w:color="BFC9C0"/>
              <w:right w:val="single" w:sz="2" w:space="0" w:color="BFC9C0"/>
            </w:tcBorders>
            <w:shd w:val="clear" w:color="auto" w:fill="FFFFFF"/>
          </w:tcPr>
          <w:p w14:paraId="5E69259E" w14:textId="77777777" w:rsidR="00CD5946" w:rsidRDefault="00000000">
            <w:pPr>
              <w:spacing w:after="0"/>
            </w:pPr>
            <w:r>
              <w:rPr>
                <w:rFonts w:ascii="Arial" w:eastAsia="Arial" w:hAnsi="Arial"/>
                <w:color w:val="1A1A1A"/>
                <w:sz w:val="18"/>
                <w:szCs w:val="18"/>
              </w:rPr>
              <w:t>Ch.6; Annex 15</w:t>
            </w:r>
          </w:p>
        </w:tc>
      </w:tr>
      <w:tr w:rsidR="00CD5946" w14:paraId="4832627C" w14:textId="77777777">
        <w:tc>
          <w:tcPr>
            <w:tcW w:w="1500" w:type="dxa"/>
            <w:tcBorders>
              <w:top w:val="single" w:sz="2" w:space="0" w:color="BFC9C0"/>
              <w:left w:val="single" w:sz="2" w:space="0" w:color="BFC9C0"/>
              <w:bottom w:val="single" w:sz="2" w:space="0" w:color="BFC9C0"/>
              <w:right w:val="single" w:sz="2" w:space="0" w:color="BFC9C0"/>
            </w:tcBorders>
            <w:shd w:val="clear" w:color="auto" w:fill="EEF3F1"/>
          </w:tcPr>
          <w:p w14:paraId="426BC97E" w14:textId="77777777" w:rsidR="00CD5946" w:rsidRDefault="00000000">
            <w:pPr>
              <w:spacing w:after="0"/>
            </w:pPr>
            <w:r>
              <w:rPr>
                <w:rFonts w:ascii="Arial" w:eastAsia="Arial" w:hAnsi="Arial"/>
                <w:color w:val="1A1A1A"/>
                <w:sz w:val="18"/>
                <w:szCs w:val="18"/>
              </w:rPr>
              <w:t>M4</w:t>
            </w:r>
          </w:p>
        </w:tc>
        <w:tc>
          <w:tcPr>
            <w:tcW w:w="3760" w:type="dxa"/>
            <w:tcBorders>
              <w:top w:val="single" w:sz="2" w:space="0" w:color="BFC9C0"/>
              <w:left w:val="single" w:sz="2" w:space="0" w:color="BFC9C0"/>
              <w:bottom w:val="single" w:sz="2" w:space="0" w:color="BFC9C0"/>
              <w:right w:val="single" w:sz="2" w:space="0" w:color="BFC9C0"/>
            </w:tcBorders>
            <w:shd w:val="clear" w:color="auto" w:fill="EEF3F1"/>
          </w:tcPr>
          <w:p w14:paraId="3C1DB90C" w14:textId="77777777" w:rsidR="00CD5946" w:rsidRDefault="00000000">
            <w:pPr>
              <w:spacing w:after="0"/>
            </w:pPr>
            <w:r>
              <w:rPr>
                <w:rFonts w:ascii="Arial" w:eastAsia="Arial" w:hAnsi="Arial"/>
                <w:color w:val="1A1A1A"/>
                <w:sz w:val="18"/>
                <w:szCs w:val="18"/>
              </w:rPr>
              <w:t>Common Technical Document (CTD)</w:t>
            </w:r>
          </w:p>
        </w:tc>
        <w:tc>
          <w:tcPr>
            <w:tcW w:w="4100" w:type="dxa"/>
            <w:tcBorders>
              <w:top w:val="single" w:sz="2" w:space="0" w:color="BFC9C0"/>
              <w:left w:val="single" w:sz="2" w:space="0" w:color="BFC9C0"/>
              <w:bottom w:val="single" w:sz="2" w:space="0" w:color="BFC9C0"/>
              <w:right w:val="single" w:sz="2" w:space="0" w:color="BFC9C0"/>
            </w:tcBorders>
            <w:shd w:val="clear" w:color="auto" w:fill="EEF3F1"/>
          </w:tcPr>
          <w:p w14:paraId="5B50DCC5" w14:textId="77777777" w:rsidR="00CD5946" w:rsidRDefault="00000000">
            <w:pPr>
              <w:spacing w:after="0"/>
            </w:pPr>
            <w:r>
              <w:rPr>
                <w:rFonts w:ascii="Arial" w:eastAsia="Arial" w:hAnsi="Arial"/>
                <w:color w:val="1A1A1A"/>
                <w:sz w:val="18"/>
                <w:szCs w:val="18"/>
              </w:rPr>
              <w:t>Referenced for marketing-authorisation alignment</w:t>
            </w:r>
          </w:p>
        </w:tc>
      </w:tr>
    </w:tbl>
    <w:p w14:paraId="4FF8FE9F" w14:textId="77777777" w:rsidR="00CD5946" w:rsidRDefault="00000000">
      <w:pPr>
        <w:pStyle w:val="Heading1"/>
      </w:pPr>
      <w:r>
        <w:br w:type="page"/>
      </w:r>
      <w:bookmarkStart w:id="263" w:name="__RefHeading___Toc9663_1729075678"/>
      <w:bookmarkEnd w:id="263"/>
      <w:r>
        <w:lastRenderedPageBreak/>
        <w:t>Appendix B — Acceptance criteria and reference-limits register</w:t>
      </w:r>
    </w:p>
    <w:p w14:paraId="1E4CEFDB" w14:textId="77777777" w:rsidR="00CD5946" w:rsidRDefault="00000000">
      <w:pPr>
        <w:spacing w:after="110"/>
      </w:pPr>
      <w:r>
        <w:rPr>
          <w:rFonts w:ascii="Arial" w:eastAsia="Arial" w:hAnsi="Arial"/>
          <w:color w:val="1A1A1A"/>
        </w:rPr>
        <w:t>This appendix consolidates the principal quantitative acceptance criteria referenced throughout the guideline, grouped by topic, each with its controlling source. It is maintained as a controlled, dated register so that numeric standards can be kept current as pharmacopoeias and guidelines revise, without reopening the main text. Where standards differ, the stricter or most widely-cited value is shown; always confirm against the current edition and the product's registered specification.</w:t>
      </w:r>
    </w:p>
    <w:p w14:paraId="089A7316" w14:textId="77777777" w:rsidR="00CD5946" w:rsidRDefault="00000000">
      <w:pPr>
        <w:spacing w:after="140"/>
      </w:pPr>
      <w:r>
        <w:rPr>
          <w:rFonts w:ascii="Arial" w:eastAsia="Arial" w:hAnsi="Arial"/>
          <w:i/>
          <w:iCs/>
          <w:color w:val="5A5A5A"/>
          <w:sz w:val="18"/>
          <w:szCs w:val="18"/>
        </w:rPr>
        <w:t>Effective: 2026 · Review due: annually · Owner: Arab GMP Working Group / AUPAM Experts' Office.</w:t>
      </w:r>
    </w:p>
    <w:p w14:paraId="283DD442" w14:textId="77777777" w:rsidR="00CD5946" w:rsidRDefault="00000000">
      <w:pPr>
        <w:spacing w:after="40" w:line="266" w:lineRule="auto"/>
        <w:ind w:left="300" w:hanging="300"/>
      </w:pPr>
      <w:r>
        <w:rPr>
          <w:rFonts w:ascii="Arial" w:eastAsia="Arial" w:hAnsi="Arial"/>
          <w:b/>
          <w:bCs/>
          <w:color w:val="15512F"/>
        </w:rPr>
        <w:t xml:space="preserve">Source editions.  </w:t>
      </w:r>
      <w:r>
        <w:rPr>
          <w:rFonts w:ascii="Arial" w:eastAsia="Arial" w:hAnsi="Arial"/>
          <w:color w:val="333333"/>
        </w:rPr>
        <w:t>Each numeric limit is referenced to the edition or revision of its controlling source listed in Appendix D (Normative references) as in force at the effective date stated above.  On revision of a source, the corresponding entry is updated through change control without reopening the main text.</w:t>
      </w:r>
    </w:p>
    <w:p w14:paraId="6704A378" w14:textId="77777777" w:rsidR="00CD5946" w:rsidRDefault="00000000">
      <w:pPr>
        <w:bidi/>
        <w:spacing w:after="150" w:line="300" w:lineRule="auto"/>
        <w:ind w:right="300" w:hanging="300"/>
        <w:jc w:val="right"/>
      </w:pPr>
      <w:r>
        <w:rPr>
          <w:rFonts w:ascii="Arial" w:eastAsia="Arial" w:hAnsi="Arial"/>
          <w:color w:val="333333"/>
          <w:sz w:val="20"/>
          <w:szCs w:val="20"/>
          <w:rtl/>
        </w:rPr>
        <w:t>طبعات المصادر: يُسنَد كلّ حدّ رقمي إلى طبعة أو تنقيح مصدره الضابط المُدرج في الملحق د (المراجع المعيارية) بصيغته السارية في التاريخ الفعّال المذكور أعلاه. وعند تنقيح أيّ مصدر، يُحدَّث القيد المقابل عبر ضبط التغيير دون إعادة فتح المتن.</w:t>
      </w:r>
    </w:p>
    <w:p w14:paraId="380014FA" w14:textId="77777777" w:rsidR="00CD5946" w:rsidRDefault="00000000">
      <w:pPr>
        <w:pStyle w:val="Heading3"/>
        <w:keepNext/>
      </w:pPr>
      <w:bookmarkStart w:id="264" w:name="__RefHeading___Toc9665_1729075678"/>
      <w:bookmarkEnd w:id="264"/>
      <w:r>
        <w:t>Quality Management System (PQS)</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635CE8F5"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76318140"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64386A8F" w14:textId="77777777" w:rsidR="00CD5946" w:rsidRDefault="00000000">
            <w:pPr>
              <w:spacing w:after="0"/>
            </w:pPr>
            <w:r>
              <w:rPr>
                <w:rFonts w:ascii="Arial" w:eastAsia="Arial" w:hAnsi="Arial"/>
                <w:b/>
                <w:bCs/>
                <w:color w:val="FFFFFF"/>
                <w:sz w:val="18"/>
                <w:szCs w:val="18"/>
              </w:rPr>
              <w:t>Limit / acceptance criterion · source</w:t>
            </w:r>
          </w:p>
        </w:tc>
      </w:tr>
      <w:tr w:rsidR="00CD5946" w14:paraId="6A2350F8"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7E61E640" w14:textId="77777777" w:rsidR="00CD5946" w:rsidRDefault="00000000">
            <w:pPr>
              <w:spacing w:after="0"/>
            </w:pPr>
            <w:r>
              <w:rPr>
                <w:rFonts w:ascii="Arial" w:eastAsia="Arial" w:hAnsi="Arial"/>
                <w:color w:val="1A1A1A"/>
                <w:sz w:val="18"/>
                <w:szCs w:val="18"/>
              </w:rPr>
              <w:t>Product Quality Review (PQR/APR)</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0CCB30FF" w14:textId="77777777" w:rsidR="00CD5946" w:rsidRDefault="00000000">
            <w:pPr>
              <w:spacing w:after="0"/>
            </w:pPr>
            <w:r>
              <w:rPr>
                <w:rFonts w:ascii="Arial" w:eastAsia="Arial" w:hAnsi="Arial"/>
                <w:color w:val="1A1A1A"/>
                <w:sz w:val="18"/>
                <w:szCs w:val="18"/>
              </w:rPr>
              <w:t>At least once every 12 months, per product (trend the year)</w:t>
            </w:r>
          </w:p>
        </w:tc>
      </w:tr>
      <w:tr w:rsidR="00CD5946" w14:paraId="16CD6D6F"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67E62BFC" w14:textId="77777777" w:rsidR="00CD5946" w:rsidRDefault="00000000">
            <w:pPr>
              <w:spacing w:after="0"/>
            </w:pPr>
            <w:r>
              <w:rPr>
                <w:rFonts w:ascii="Arial" w:eastAsia="Arial" w:hAnsi="Arial"/>
                <w:color w:val="1A1A1A"/>
                <w:sz w:val="18"/>
                <w:szCs w:val="18"/>
              </w:rPr>
              <w:t>Management review</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04323FFD" w14:textId="77777777" w:rsidR="00CD5946" w:rsidRDefault="00000000">
            <w:pPr>
              <w:spacing w:after="0"/>
            </w:pPr>
            <w:r>
              <w:rPr>
                <w:rFonts w:ascii="Arial" w:eastAsia="Arial" w:hAnsi="Arial"/>
                <w:color w:val="1A1A1A"/>
                <w:sz w:val="18"/>
                <w:szCs w:val="18"/>
              </w:rPr>
              <w:t>Periodic, defined frequency; actions tracked to closure (ICH Q10)</w:t>
            </w:r>
          </w:p>
        </w:tc>
      </w:tr>
      <w:tr w:rsidR="00CD5946" w14:paraId="07ABD23D"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61EBE85B" w14:textId="77777777" w:rsidR="00CD5946" w:rsidRDefault="00000000">
            <w:pPr>
              <w:spacing w:after="0"/>
            </w:pPr>
            <w:r>
              <w:rPr>
                <w:rFonts w:ascii="Arial" w:eastAsia="Arial" w:hAnsi="Arial"/>
                <w:color w:val="1A1A1A"/>
                <w:sz w:val="18"/>
                <w:szCs w:val="18"/>
              </w:rPr>
              <w:t>Quality metrics / KPIs</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323DCB45" w14:textId="77777777" w:rsidR="00CD5946" w:rsidRDefault="00000000">
            <w:pPr>
              <w:spacing w:after="0"/>
            </w:pPr>
            <w:r>
              <w:rPr>
                <w:rFonts w:ascii="Arial" w:eastAsia="Arial" w:hAnsi="Arial"/>
                <w:color w:val="1A1A1A"/>
                <w:sz w:val="18"/>
                <w:szCs w:val="18"/>
              </w:rPr>
              <w:t>Defined with action &amp; alert limits; trended (ICH Q10)</w:t>
            </w:r>
          </w:p>
        </w:tc>
      </w:tr>
      <w:tr w:rsidR="00CD5946" w14:paraId="52221AD6"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65AD1C2A" w14:textId="77777777" w:rsidR="00CD5946" w:rsidRDefault="00000000">
            <w:pPr>
              <w:spacing w:after="0"/>
            </w:pPr>
            <w:r>
              <w:rPr>
                <w:rFonts w:ascii="Arial" w:eastAsia="Arial" w:hAnsi="Arial"/>
                <w:color w:val="1A1A1A"/>
                <w:sz w:val="18"/>
                <w:szCs w:val="18"/>
              </w:rPr>
              <w:t>Data governance</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3D1E6554" w14:textId="77777777" w:rsidR="00CD5946" w:rsidRDefault="00000000">
            <w:pPr>
              <w:spacing w:after="0"/>
            </w:pPr>
            <w:r>
              <w:rPr>
                <w:rFonts w:ascii="Arial" w:eastAsia="Arial" w:hAnsi="Arial"/>
                <w:color w:val="1A1A1A"/>
                <w:sz w:val="18"/>
                <w:szCs w:val="18"/>
              </w:rPr>
              <w:t>ALCOA+ across the lifecycle (PIC/S PI 041)</w:t>
            </w:r>
          </w:p>
        </w:tc>
      </w:tr>
      <w:tr w:rsidR="00CD5946" w14:paraId="3DF8B8BD"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016C5CFC" w14:textId="77777777" w:rsidR="00CD5946" w:rsidRDefault="00000000">
            <w:pPr>
              <w:spacing w:after="0"/>
            </w:pPr>
            <w:r>
              <w:rPr>
                <w:rFonts w:ascii="Arial" w:eastAsia="Arial" w:hAnsi="Arial"/>
                <w:color w:val="1A1A1A"/>
                <w:sz w:val="18"/>
                <w:szCs w:val="18"/>
              </w:rPr>
              <w:t>Record/PQR retention</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3537EFD6" w14:textId="77777777" w:rsidR="00CD5946" w:rsidRDefault="00000000">
            <w:pPr>
              <w:spacing w:after="0"/>
            </w:pPr>
            <w:r>
              <w:rPr>
                <w:rFonts w:ascii="Arial" w:eastAsia="Arial" w:hAnsi="Arial"/>
                <w:color w:val="1A1A1A"/>
                <w:sz w:val="18"/>
                <w:szCs w:val="18"/>
              </w:rPr>
              <w:t>≥ 1 year after product expiry, or ≥ 5 years after batch certification — whichever is longer (EU GMP Ch.4)</w:t>
            </w:r>
          </w:p>
        </w:tc>
      </w:tr>
    </w:tbl>
    <w:p w14:paraId="09D40165" w14:textId="77777777" w:rsidR="00CD5946" w:rsidRDefault="00CD5946">
      <w:pPr>
        <w:spacing w:after="60"/>
      </w:pPr>
    </w:p>
    <w:p w14:paraId="25462981" w14:textId="77777777" w:rsidR="00CD5946" w:rsidRDefault="00000000">
      <w:pPr>
        <w:pStyle w:val="Heading3"/>
        <w:keepNext/>
      </w:pPr>
      <w:bookmarkStart w:id="265" w:name="__RefHeading___Toc9667_1729075678"/>
      <w:bookmarkEnd w:id="265"/>
      <w:r>
        <w:t>Personnel, Training &amp; Hygiene</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6F826948"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0FB2FAFB"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60531CBD" w14:textId="77777777" w:rsidR="00CD5946" w:rsidRDefault="00000000">
            <w:pPr>
              <w:spacing w:after="0"/>
            </w:pPr>
            <w:r>
              <w:rPr>
                <w:rFonts w:ascii="Arial" w:eastAsia="Arial" w:hAnsi="Arial"/>
                <w:b/>
                <w:bCs/>
                <w:color w:val="FFFFFF"/>
                <w:sz w:val="18"/>
                <w:szCs w:val="18"/>
              </w:rPr>
              <w:t>Limit / acceptance criterion · source</w:t>
            </w:r>
          </w:p>
        </w:tc>
      </w:tr>
      <w:tr w:rsidR="00CD5946" w14:paraId="2D28E356"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790DDB33" w14:textId="77777777" w:rsidR="00CD5946" w:rsidRDefault="00000000">
            <w:pPr>
              <w:spacing w:after="0"/>
            </w:pPr>
            <w:r>
              <w:rPr>
                <w:rFonts w:ascii="Arial" w:eastAsia="Arial" w:hAnsi="Arial"/>
                <w:color w:val="1A1A1A"/>
                <w:sz w:val="18"/>
                <w:szCs w:val="18"/>
              </w:rPr>
              <w:t>GMP training</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239F3109" w14:textId="77777777" w:rsidR="00CD5946" w:rsidRDefault="00000000">
            <w:pPr>
              <w:spacing w:after="0"/>
            </w:pPr>
            <w:r>
              <w:rPr>
                <w:rFonts w:ascii="Arial" w:eastAsia="Arial" w:hAnsi="Arial"/>
                <w:color w:val="1A1A1A"/>
                <w:sz w:val="18"/>
                <w:szCs w:val="18"/>
              </w:rPr>
              <w:t>Initial + continuing; competency assessed (not attendance only) (EU GMP Ch.2)</w:t>
            </w:r>
          </w:p>
        </w:tc>
      </w:tr>
      <w:tr w:rsidR="00CD5946" w14:paraId="34ABCE49"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14A63582" w14:textId="77777777" w:rsidR="00CD5946" w:rsidRDefault="00000000">
            <w:pPr>
              <w:spacing w:after="0"/>
            </w:pPr>
            <w:r>
              <w:rPr>
                <w:rFonts w:ascii="Arial" w:eastAsia="Arial" w:hAnsi="Arial"/>
                <w:color w:val="1A1A1A"/>
                <w:sz w:val="18"/>
                <w:szCs w:val="18"/>
              </w:rPr>
              <w:t>Aseptic gowning qualification</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475F78D8" w14:textId="77777777" w:rsidR="00CD5946" w:rsidRDefault="00000000">
            <w:pPr>
              <w:spacing w:after="0"/>
            </w:pPr>
            <w:r>
              <w:rPr>
                <w:rFonts w:ascii="Arial" w:eastAsia="Arial" w:hAnsi="Arial"/>
                <w:color w:val="1A1A1A"/>
                <w:sz w:val="18"/>
                <w:szCs w:val="18"/>
              </w:rPr>
              <w:t>Initial qualification + periodic re-qualification (e.g. annually) with gown/glove EM (Annex 1 2022)</w:t>
            </w:r>
          </w:p>
        </w:tc>
      </w:tr>
      <w:tr w:rsidR="00CD5946" w14:paraId="24568FAC"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3E159BDD" w14:textId="77777777" w:rsidR="00CD5946" w:rsidRDefault="00000000">
            <w:pPr>
              <w:spacing w:after="0"/>
            </w:pPr>
            <w:r>
              <w:rPr>
                <w:rFonts w:ascii="Arial" w:eastAsia="Arial" w:hAnsi="Arial"/>
                <w:color w:val="1A1A1A"/>
                <w:sz w:val="18"/>
                <w:szCs w:val="18"/>
              </w:rPr>
              <w:t>Operator glove monitoring (Grade A/B)</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5E0942DA" w14:textId="77777777" w:rsidR="00CD5946" w:rsidRDefault="00000000">
            <w:pPr>
              <w:spacing w:after="0"/>
            </w:pPr>
            <w:r>
              <w:rPr>
                <w:rFonts w:ascii="Arial" w:eastAsia="Arial" w:hAnsi="Arial"/>
                <w:color w:val="1A1A1A"/>
                <w:sz w:val="18"/>
                <w:szCs w:val="18"/>
              </w:rPr>
              <w:t>After each critical intervention / end of session; limits per Annex 1 Table</w:t>
            </w:r>
          </w:p>
        </w:tc>
      </w:tr>
      <w:tr w:rsidR="00CD5946" w14:paraId="1BB54BCB"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27D2713C" w14:textId="77777777" w:rsidR="00CD5946" w:rsidRDefault="00000000">
            <w:pPr>
              <w:spacing w:after="0"/>
            </w:pPr>
            <w:r>
              <w:rPr>
                <w:rFonts w:ascii="Arial" w:eastAsia="Arial" w:hAnsi="Arial"/>
                <w:color w:val="1A1A1A"/>
                <w:sz w:val="18"/>
                <w:szCs w:val="18"/>
              </w:rPr>
              <w:t>Health screening</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4F4EC3AB" w14:textId="77777777" w:rsidR="00CD5946" w:rsidRDefault="00000000">
            <w:pPr>
              <w:spacing w:after="0"/>
            </w:pPr>
            <w:r>
              <w:rPr>
                <w:rFonts w:ascii="Arial" w:eastAsia="Arial" w:hAnsi="Arial"/>
                <w:color w:val="1A1A1A"/>
                <w:sz w:val="18"/>
                <w:szCs w:val="18"/>
              </w:rPr>
              <w:t>On recruitment + periodic; exclude staff with conditions that risk product (EU GMP Ch.2)</w:t>
            </w:r>
          </w:p>
        </w:tc>
      </w:tr>
      <w:tr w:rsidR="00CD5946" w14:paraId="67286269"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152967F7" w14:textId="77777777" w:rsidR="00CD5946" w:rsidRDefault="00000000">
            <w:pPr>
              <w:spacing w:after="0"/>
            </w:pPr>
            <w:r>
              <w:rPr>
                <w:rFonts w:ascii="Arial" w:eastAsia="Arial" w:hAnsi="Arial"/>
                <w:color w:val="1A1A1A"/>
                <w:sz w:val="18"/>
                <w:szCs w:val="18"/>
              </w:rPr>
              <w:t>Number of personnel in clean areas</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70863190" w14:textId="77777777" w:rsidR="00CD5946" w:rsidRDefault="00000000">
            <w:pPr>
              <w:spacing w:after="0"/>
            </w:pPr>
            <w:r>
              <w:rPr>
                <w:rFonts w:ascii="Arial" w:eastAsia="Arial" w:hAnsi="Arial"/>
                <w:color w:val="1A1A1A"/>
                <w:sz w:val="18"/>
                <w:szCs w:val="18"/>
              </w:rPr>
              <w:t>Minimised and qualified; justified by CCS (Annex 1)</w:t>
            </w:r>
          </w:p>
        </w:tc>
      </w:tr>
    </w:tbl>
    <w:p w14:paraId="13545527" w14:textId="77777777" w:rsidR="00CD5946" w:rsidRDefault="00CD5946">
      <w:pPr>
        <w:spacing w:after="60"/>
      </w:pPr>
    </w:p>
    <w:p w14:paraId="25536813" w14:textId="77777777" w:rsidR="00CD5946" w:rsidRDefault="00000000">
      <w:pPr>
        <w:pStyle w:val="Heading3"/>
        <w:keepNext/>
      </w:pPr>
      <w:bookmarkStart w:id="266" w:name="__RefHeading___Toc9669_1729075678"/>
      <w:bookmarkEnd w:id="266"/>
      <w:r>
        <w:t>Premises &amp; Facilities</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3C7F2674"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0BCC6F81"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3CDE7018" w14:textId="77777777" w:rsidR="00CD5946" w:rsidRDefault="00000000">
            <w:pPr>
              <w:spacing w:after="0"/>
            </w:pPr>
            <w:r>
              <w:rPr>
                <w:rFonts w:ascii="Arial" w:eastAsia="Arial" w:hAnsi="Arial"/>
                <w:b/>
                <w:bCs/>
                <w:color w:val="FFFFFF"/>
                <w:sz w:val="18"/>
                <w:szCs w:val="18"/>
              </w:rPr>
              <w:t>Limit / acceptance criterion · source</w:t>
            </w:r>
          </w:p>
        </w:tc>
      </w:tr>
      <w:tr w:rsidR="00CD5946" w14:paraId="3305EB03"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74F312E5" w14:textId="77777777" w:rsidR="00CD5946" w:rsidRDefault="00000000">
            <w:pPr>
              <w:spacing w:after="0"/>
            </w:pPr>
            <w:r>
              <w:rPr>
                <w:rFonts w:ascii="Arial" w:eastAsia="Arial" w:hAnsi="Arial"/>
                <w:color w:val="1A1A1A"/>
                <w:sz w:val="18"/>
                <w:szCs w:val="18"/>
              </w:rPr>
              <w:t>Surfaces (clean areas)</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2C28C478" w14:textId="77777777" w:rsidR="00CD5946" w:rsidRDefault="00000000">
            <w:pPr>
              <w:spacing w:after="0"/>
            </w:pPr>
            <w:r>
              <w:rPr>
                <w:rFonts w:ascii="Arial" w:eastAsia="Arial" w:hAnsi="Arial"/>
                <w:color w:val="1A1A1A"/>
                <w:sz w:val="18"/>
                <w:szCs w:val="18"/>
              </w:rPr>
              <w:t>Smooth, impervious, crack-free, cleanable; coved junctions (Annex 1)</w:t>
            </w:r>
          </w:p>
        </w:tc>
      </w:tr>
      <w:tr w:rsidR="00CD5946" w14:paraId="4C1FF072"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0515AD82" w14:textId="77777777" w:rsidR="00CD5946" w:rsidRDefault="00000000">
            <w:pPr>
              <w:spacing w:after="0"/>
            </w:pPr>
            <w:r>
              <w:rPr>
                <w:rFonts w:ascii="Arial" w:eastAsia="Arial" w:hAnsi="Arial"/>
                <w:color w:val="1A1A1A"/>
                <w:sz w:val="18"/>
                <w:szCs w:val="18"/>
              </w:rPr>
              <w:t>Lighting — visual inspection of parenterals</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2BADF86B" w14:textId="77777777" w:rsidR="00CD5946" w:rsidRDefault="00000000">
            <w:pPr>
              <w:spacing w:after="0"/>
            </w:pPr>
            <w:r>
              <w:rPr>
                <w:rFonts w:ascii="Arial" w:eastAsia="Arial" w:hAnsi="Arial"/>
                <w:color w:val="1A1A1A"/>
                <w:sz w:val="18"/>
                <w:szCs w:val="18"/>
              </w:rPr>
              <w:t>2,000–3,750 lux at the inspection point (Ph. Eur. 2.9.20; cf. USP &lt;790&gt;/&lt;1790&gt;)</w:t>
            </w:r>
          </w:p>
        </w:tc>
      </w:tr>
      <w:tr w:rsidR="00CD5946" w14:paraId="36D66561"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00581B83" w14:textId="77777777" w:rsidR="00CD5946" w:rsidRDefault="00000000">
            <w:pPr>
              <w:spacing w:after="0"/>
            </w:pPr>
            <w:r>
              <w:rPr>
                <w:rFonts w:ascii="Arial" w:eastAsia="Arial" w:hAnsi="Arial"/>
                <w:color w:val="1A1A1A"/>
                <w:sz w:val="18"/>
                <w:szCs w:val="18"/>
              </w:rPr>
              <w:t>Lighting — general production</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4F2418C0" w14:textId="77777777" w:rsidR="00CD5946" w:rsidRDefault="00000000">
            <w:pPr>
              <w:spacing w:after="0"/>
            </w:pPr>
            <w:r>
              <w:rPr>
                <w:rFonts w:ascii="Arial" w:eastAsia="Arial" w:hAnsi="Arial"/>
                <w:color w:val="1A1A1A"/>
                <w:sz w:val="18"/>
                <w:szCs w:val="18"/>
              </w:rPr>
              <w:t>Adequate for the task (typ. 300–500 lux); per local code</w:t>
            </w:r>
          </w:p>
        </w:tc>
      </w:tr>
      <w:tr w:rsidR="00CD5946" w14:paraId="35E8F9DE"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59FC041E" w14:textId="77777777" w:rsidR="00CD5946" w:rsidRDefault="00000000">
            <w:pPr>
              <w:spacing w:after="0"/>
            </w:pPr>
            <w:r>
              <w:rPr>
                <w:rFonts w:ascii="Arial" w:eastAsia="Arial" w:hAnsi="Arial"/>
                <w:color w:val="1A1A1A"/>
                <w:sz w:val="18"/>
                <w:szCs w:val="18"/>
              </w:rPr>
              <w:lastRenderedPageBreak/>
              <w:t>Pest control</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3436D07C" w14:textId="77777777" w:rsidR="00CD5946" w:rsidRDefault="00000000">
            <w:pPr>
              <w:spacing w:after="0"/>
            </w:pPr>
            <w:r>
              <w:rPr>
                <w:rFonts w:ascii="Arial" w:eastAsia="Arial" w:hAnsi="Arial"/>
                <w:color w:val="1A1A1A"/>
                <w:sz w:val="18"/>
                <w:szCs w:val="18"/>
              </w:rPr>
              <w:t>Documented programme; no evidence of infestation (EU GMP Ch.3)</w:t>
            </w:r>
          </w:p>
        </w:tc>
      </w:tr>
      <w:tr w:rsidR="00CD5946" w14:paraId="46FB9073"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45C684CD" w14:textId="77777777" w:rsidR="00CD5946" w:rsidRDefault="00000000">
            <w:pPr>
              <w:spacing w:after="0"/>
            </w:pPr>
            <w:r>
              <w:rPr>
                <w:rFonts w:ascii="Arial" w:eastAsia="Arial" w:hAnsi="Arial"/>
                <w:color w:val="1A1A1A"/>
                <w:sz w:val="18"/>
                <w:szCs w:val="18"/>
              </w:rPr>
              <w:t>Material/personnel flow</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6BE18D6D" w14:textId="77777777" w:rsidR="00CD5946" w:rsidRDefault="00000000">
            <w:pPr>
              <w:spacing w:after="0"/>
            </w:pPr>
            <w:r>
              <w:rPr>
                <w:rFonts w:ascii="Arial" w:eastAsia="Arial" w:hAnsi="Arial"/>
                <w:color w:val="1A1A1A"/>
                <w:sz w:val="18"/>
                <w:szCs w:val="18"/>
              </w:rPr>
              <w:t>Unidirectional where practical; segregation to prevent mix-up &amp; cross-contamination</w:t>
            </w:r>
          </w:p>
        </w:tc>
      </w:tr>
    </w:tbl>
    <w:p w14:paraId="3BE15D60" w14:textId="77777777" w:rsidR="00CD5946" w:rsidRDefault="00CD5946">
      <w:pPr>
        <w:spacing w:after="60"/>
      </w:pPr>
    </w:p>
    <w:p w14:paraId="4FC7FE4C" w14:textId="77777777" w:rsidR="00CD5946" w:rsidRDefault="00000000">
      <w:pPr>
        <w:pStyle w:val="Heading3"/>
        <w:keepNext/>
      </w:pPr>
      <w:bookmarkStart w:id="267" w:name="__RefHeading___Toc9671_1729075678"/>
      <w:bookmarkEnd w:id="267"/>
      <w:r>
        <w:t>HVAC &amp; Environmental Control</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2CDE4C1A"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46737BF5"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57673161" w14:textId="77777777" w:rsidR="00CD5946" w:rsidRDefault="00000000">
            <w:pPr>
              <w:spacing w:after="0"/>
            </w:pPr>
            <w:r>
              <w:rPr>
                <w:rFonts w:ascii="Arial" w:eastAsia="Arial" w:hAnsi="Arial"/>
                <w:b/>
                <w:bCs/>
                <w:color w:val="FFFFFF"/>
                <w:sz w:val="18"/>
                <w:szCs w:val="18"/>
              </w:rPr>
              <w:t>Limit / acceptance criterion · source</w:t>
            </w:r>
          </w:p>
        </w:tc>
      </w:tr>
      <w:tr w:rsidR="00CD5946" w14:paraId="2E0CF7D4"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671A5091" w14:textId="77777777" w:rsidR="00CD5946" w:rsidRDefault="00000000">
            <w:pPr>
              <w:spacing w:after="0"/>
            </w:pPr>
            <w:r>
              <w:rPr>
                <w:rFonts w:ascii="Arial" w:eastAsia="Arial" w:hAnsi="Arial"/>
                <w:color w:val="1A1A1A"/>
                <w:sz w:val="18"/>
                <w:szCs w:val="18"/>
              </w:rPr>
              <w:t>Particles ≥0.5 µm — Grade A (at rest &amp; in operation)</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7791C3AF" w14:textId="77777777" w:rsidR="00CD5946" w:rsidRDefault="00000000">
            <w:pPr>
              <w:spacing w:after="0"/>
            </w:pPr>
            <w:r>
              <w:rPr>
                <w:rFonts w:ascii="Arial" w:eastAsia="Arial" w:hAnsi="Arial"/>
                <w:color w:val="1A1A1A"/>
                <w:sz w:val="18"/>
                <w:szCs w:val="18"/>
              </w:rPr>
              <w:t>≤ 3,520 /m³ (Annex 1 2022 / ISO 5)</w:t>
            </w:r>
          </w:p>
        </w:tc>
      </w:tr>
      <w:tr w:rsidR="00CD5946" w14:paraId="2BD787C0"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428C3F2E" w14:textId="77777777" w:rsidR="00CD5946" w:rsidRDefault="00000000">
            <w:pPr>
              <w:spacing w:after="0"/>
            </w:pPr>
            <w:r>
              <w:rPr>
                <w:rFonts w:ascii="Arial" w:eastAsia="Arial" w:hAnsi="Arial"/>
                <w:color w:val="1A1A1A"/>
                <w:sz w:val="18"/>
                <w:szCs w:val="18"/>
              </w:rPr>
              <w:t>Particles ≥5 µm — Grade A</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1960A646" w14:textId="77777777" w:rsidR="00CD5946" w:rsidRDefault="00000000">
            <w:pPr>
              <w:spacing w:after="0"/>
            </w:pPr>
            <w:r>
              <w:rPr>
                <w:rFonts w:ascii="Arial" w:eastAsia="Arial" w:hAnsi="Arial"/>
                <w:color w:val="1A1A1A"/>
                <w:sz w:val="18"/>
                <w:szCs w:val="18"/>
              </w:rPr>
              <w:t>Classification: not specified; Monitoring: 29 /m³ in both states (Annex 1 2022, Tables 1 &amp; 5)</w:t>
            </w:r>
          </w:p>
        </w:tc>
      </w:tr>
      <w:tr w:rsidR="00CD5946" w14:paraId="0AECEE10"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067F8CB2" w14:textId="77777777" w:rsidR="00CD5946" w:rsidRDefault="00000000">
            <w:pPr>
              <w:spacing w:after="0"/>
            </w:pPr>
            <w:r>
              <w:rPr>
                <w:rFonts w:ascii="Arial" w:eastAsia="Arial" w:hAnsi="Arial"/>
                <w:color w:val="1A1A1A"/>
                <w:sz w:val="18"/>
                <w:szCs w:val="18"/>
              </w:rPr>
              <w:t>Particles ≥0.5 / ≥5 µm — Grade B at rest</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66454820" w14:textId="77777777" w:rsidR="00CD5946" w:rsidRDefault="00000000">
            <w:pPr>
              <w:spacing w:after="0"/>
            </w:pPr>
            <w:r>
              <w:rPr>
                <w:rFonts w:ascii="Arial" w:eastAsia="Arial" w:hAnsi="Arial"/>
                <w:color w:val="1A1A1A"/>
                <w:sz w:val="18"/>
                <w:szCs w:val="18"/>
              </w:rPr>
              <w:t>≤ 3,520 /m³ ; ≥5 µm classification: not specified (monitoring: 29 /m³)</w:t>
            </w:r>
          </w:p>
        </w:tc>
      </w:tr>
      <w:tr w:rsidR="00CD5946" w14:paraId="15137F21"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3E7587A5" w14:textId="77777777" w:rsidR="00CD5946" w:rsidRDefault="00000000">
            <w:pPr>
              <w:spacing w:after="0"/>
            </w:pPr>
            <w:r>
              <w:rPr>
                <w:rFonts w:ascii="Arial" w:eastAsia="Arial" w:hAnsi="Arial"/>
                <w:color w:val="1A1A1A"/>
                <w:sz w:val="18"/>
                <w:szCs w:val="18"/>
              </w:rPr>
              <w:t>Particles ≥0.5 / ≥5 µm — Grade B in operation</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3DE1A8BF" w14:textId="77777777" w:rsidR="00CD5946" w:rsidRDefault="00000000">
            <w:pPr>
              <w:spacing w:after="0"/>
            </w:pPr>
            <w:r>
              <w:rPr>
                <w:rFonts w:ascii="Arial" w:eastAsia="Arial" w:hAnsi="Arial"/>
                <w:color w:val="1A1A1A"/>
                <w:sz w:val="18"/>
                <w:szCs w:val="18"/>
              </w:rPr>
              <w:t>≤ 352,000 / ≤ 2,930 /m³</w:t>
            </w:r>
          </w:p>
        </w:tc>
      </w:tr>
      <w:tr w:rsidR="00CD5946" w14:paraId="5AF94C0E"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2800E35D" w14:textId="77777777" w:rsidR="00CD5946" w:rsidRDefault="00000000">
            <w:pPr>
              <w:spacing w:after="0"/>
            </w:pPr>
            <w:r>
              <w:rPr>
                <w:rFonts w:ascii="Arial" w:eastAsia="Arial" w:hAnsi="Arial"/>
                <w:color w:val="1A1A1A"/>
                <w:sz w:val="18"/>
                <w:szCs w:val="18"/>
              </w:rPr>
              <w:t>Particles ≥0.5 / ≥5 µm — Grade C</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451F4079" w14:textId="77777777" w:rsidR="00CD5946" w:rsidRDefault="00000000">
            <w:pPr>
              <w:spacing w:after="0"/>
            </w:pPr>
            <w:r>
              <w:rPr>
                <w:rFonts w:ascii="Arial" w:eastAsia="Arial" w:hAnsi="Arial"/>
                <w:color w:val="1A1A1A"/>
                <w:sz w:val="18"/>
                <w:szCs w:val="18"/>
              </w:rPr>
              <w:t>at rest ≤ 352,000 / ≤ 2,930 ; in op ≤ 3,520,000 / ≤ 29,300 /m³</w:t>
            </w:r>
          </w:p>
        </w:tc>
      </w:tr>
      <w:tr w:rsidR="00CD5946" w14:paraId="7896C295"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28E796B8" w14:textId="77777777" w:rsidR="00CD5946" w:rsidRDefault="00000000">
            <w:pPr>
              <w:spacing w:after="0"/>
            </w:pPr>
            <w:r>
              <w:rPr>
                <w:rFonts w:ascii="Arial" w:eastAsia="Arial" w:hAnsi="Arial"/>
                <w:color w:val="1A1A1A"/>
                <w:sz w:val="18"/>
                <w:szCs w:val="18"/>
              </w:rPr>
              <w:t>Particles ≥0.5 / ≥5 µm — Grade D</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578DDE52" w14:textId="77777777" w:rsidR="00CD5946" w:rsidRDefault="00000000">
            <w:pPr>
              <w:spacing w:after="0"/>
            </w:pPr>
            <w:r>
              <w:rPr>
                <w:rFonts w:ascii="Arial" w:eastAsia="Arial" w:hAnsi="Arial"/>
                <w:color w:val="1A1A1A"/>
                <w:sz w:val="18"/>
                <w:szCs w:val="18"/>
              </w:rPr>
              <w:t>at rest ≤ 3,520,000 / ≤ 29,300 ; in op: not predetermined (risk-based)</w:t>
            </w:r>
          </w:p>
        </w:tc>
      </w:tr>
      <w:tr w:rsidR="00CD5946" w14:paraId="045280B0"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4AB3C351" w14:textId="77777777" w:rsidR="00CD5946" w:rsidRDefault="00000000">
            <w:pPr>
              <w:spacing w:after="0"/>
            </w:pPr>
            <w:r>
              <w:rPr>
                <w:rFonts w:ascii="Arial" w:eastAsia="Arial" w:hAnsi="Arial"/>
                <w:color w:val="1A1A1A"/>
                <w:sz w:val="18"/>
                <w:szCs w:val="18"/>
              </w:rPr>
              <w:t>Microbial — Grade A (in operation)</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6D58D78F" w14:textId="77777777" w:rsidR="00CD5946" w:rsidRDefault="00000000">
            <w:pPr>
              <w:spacing w:after="0"/>
            </w:pPr>
            <w:r>
              <w:rPr>
                <w:rFonts w:ascii="Arial" w:eastAsia="Arial" w:hAnsi="Arial"/>
                <w:color w:val="1A1A1A"/>
                <w:sz w:val="18"/>
                <w:szCs w:val="18"/>
              </w:rPr>
              <w:t>No growth — any sample type (air, settle 90 mm ≤ 4 h, contact 55 mm, glove print); any growth → investigation (Annex 1 2022, Table 6)</w:t>
            </w:r>
          </w:p>
        </w:tc>
      </w:tr>
      <w:tr w:rsidR="00CD5946" w14:paraId="2DF2CE62"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6C1F9D9A" w14:textId="77777777" w:rsidR="00CD5946" w:rsidRDefault="00000000">
            <w:pPr>
              <w:spacing w:after="0"/>
            </w:pPr>
            <w:r>
              <w:rPr>
                <w:rFonts w:ascii="Arial" w:eastAsia="Arial" w:hAnsi="Arial"/>
                <w:color w:val="1A1A1A"/>
                <w:sz w:val="18"/>
                <w:szCs w:val="18"/>
              </w:rPr>
              <w:t>Microbial — Grade B</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13EE0998" w14:textId="77777777" w:rsidR="00CD5946" w:rsidRDefault="00000000">
            <w:pPr>
              <w:spacing w:after="0"/>
            </w:pPr>
            <w:r>
              <w:rPr>
                <w:rFonts w:ascii="Arial" w:eastAsia="Arial" w:hAnsi="Arial"/>
                <w:color w:val="1A1A1A"/>
                <w:sz w:val="18"/>
                <w:szCs w:val="18"/>
              </w:rPr>
              <w:t>air 10 ; settle 5 ; contact 5 ; glove (5 fingers) 5 CFU — action limits</w:t>
            </w:r>
          </w:p>
        </w:tc>
      </w:tr>
      <w:tr w:rsidR="00CD5946" w14:paraId="3FD171D2"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56E447FD" w14:textId="77777777" w:rsidR="00CD5946" w:rsidRDefault="00000000">
            <w:pPr>
              <w:spacing w:after="0"/>
            </w:pPr>
            <w:r>
              <w:rPr>
                <w:rFonts w:ascii="Arial" w:eastAsia="Arial" w:hAnsi="Arial"/>
                <w:color w:val="1A1A1A"/>
                <w:sz w:val="18"/>
                <w:szCs w:val="18"/>
              </w:rPr>
              <w:t>Microbial — Grade C</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0EAA8C34" w14:textId="77777777" w:rsidR="00CD5946" w:rsidRDefault="00000000">
            <w:pPr>
              <w:spacing w:after="0"/>
            </w:pPr>
            <w:r>
              <w:rPr>
                <w:rFonts w:ascii="Arial" w:eastAsia="Arial" w:hAnsi="Arial"/>
                <w:color w:val="1A1A1A"/>
                <w:sz w:val="18"/>
                <w:szCs w:val="18"/>
              </w:rPr>
              <w:t>air 100 ; settle 50 ; contact 25 CFU — action limits</w:t>
            </w:r>
          </w:p>
        </w:tc>
      </w:tr>
      <w:tr w:rsidR="00CD5946" w14:paraId="0FA57EE8"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61085157" w14:textId="77777777" w:rsidR="00CD5946" w:rsidRDefault="00000000">
            <w:pPr>
              <w:spacing w:after="0"/>
            </w:pPr>
            <w:r>
              <w:rPr>
                <w:rFonts w:ascii="Arial" w:eastAsia="Arial" w:hAnsi="Arial"/>
                <w:color w:val="1A1A1A"/>
                <w:sz w:val="18"/>
                <w:szCs w:val="18"/>
              </w:rPr>
              <w:t>Microbial — Grade D</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17255E75" w14:textId="77777777" w:rsidR="00CD5946" w:rsidRDefault="00000000">
            <w:pPr>
              <w:spacing w:after="0"/>
            </w:pPr>
            <w:r>
              <w:rPr>
                <w:rFonts w:ascii="Arial" w:eastAsia="Arial" w:hAnsi="Arial"/>
                <w:color w:val="1A1A1A"/>
                <w:sz w:val="18"/>
                <w:szCs w:val="18"/>
              </w:rPr>
              <w:t>air 200 ; settle 100 ; contact 50 CFU — action limits</w:t>
            </w:r>
          </w:p>
        </w:tc>
      </w:tr>
      <w:tr w:rsidR="00CD5946" w14:paraId="57E62BC5"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5B0239EF" w14:textId="77777777" w:rsidR="00CD5946" w:rsidRDefault="00000000">
            <w:pPr>
              <w:spacing w:after="0"/>
            </w:pPr>
            <w:r>
              <w:rPr>
                <w:rFonts w:ascii="Arial" w:eastAsia="Arial" w:hAnsi="Arial"/>
                <w:color w:val="1A1A1A"/>
                <w:sz w:val="18"/>
                <w:szCs w:val="18"/>
              </w:rPr>
              <w:t>Differential pressure between adjacent grades</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7F7573BE" w14:textId="77777777" w:rsidR="00CD5946" w:rsidRDefault="00000000">
            <w:pPr>
              <w:spacing w:after="0"/>
            </w:pPr>
            <w:r>
              <w:rPr>
                <w:rFonts w:ascii="Arial" w:eastAsia="Arial" w:hAnsi="Arial"/>
                <w:color w:val="1A1A1A"/>
                <w:sz w:val="18"/>
                <w:szCs w:val="18"/>
              </w:rPr>
              <w:t>10–15 Pa (guidance ~10 Pa); cascade maintained &amp; alarmed (Annex 1)</w:t>
            </w:r>
          </w:p>
        </w:tc>
      </w:tr>
      <w:tr w:rsidR="00CD5946" w14:paraId="6FD31928"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342A0633" w14:textId="77777777" w:rsidR="00CD5946" w:rsidRDefault="00000000">
            <w:pPr>
              <w:spacing w:after="0"/>
            </w:pPr>
            <w:r>
              <w:rPr>
                <w:rFonts w:ascii="Arial" w:eastAsia="Arial" w:hAnsi="Arial"/>
                <w:color w:val="1A1A1A"/>
                <w:sz w:val="18"/>
                <w:szCs w:val="18"/>
              </w:rPr>
              <w:t>Unidirectional airflow velocity — Grade A</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4B3CA001" w14:textId="77777777" w:rsidR="00CD5946" w:rsidRDefault="00000000">
            <w:pPr>
              <w:spacing w:after="0"/>
            </w:pPr>
            <w:r>
              <w:rPr>
                <w:rFonts w:ascii="Arial" w:eastAsia="Arial" w:hAnsi="Arial"/>
                <w:color w:val="1A1A1A"/>
                <w:sz w:val="18"/>
                <w:szCs w:val="18"/>
              </w:rPr>
              <w:t>0.36–0.54 m/s at working position (guidance 0.45 m/s) (Annex 1)</w:t>
            </w:r>
          </w:p>
        </w:tc>
      </w:tr>
      <w:tr w:rsidR="00CD5946" w14:paraId="3B4C098E"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107908B9" w14:textId="77777777" w:rsidR="00CD5946" w:rsidRDefault="00000000">
            <w:pPr>
              <w:spacing w:after="0"/>
            </w:pPr>
            <w:r>
              <w:rPr>
                <w:rFonts w:ascii="Arial" w:eastAsia="Arial" w:hAnsi="Arial"/>
                <w:color w:val="1A1A1A"/>
                <w:sz w:val="18"/>
                <w:szCs w:val="18"/>
              </w:rPr>
              <w:t>Air changes (Grade C/D, non-UDAF)</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0E5057FC" w14:textId="77777777" w:rsidR="00CD5946" w:rsidRDefault="00000000">
            <w:pPr>
              <w:spacing w:after="0"/>
            </w:pPr>
            <w:r>
              <w:rPr>
                <w:rFonts w:ascii="Arial" w:eastAsia="Arial" w:hAnsi="Arial"/>
                <w:color w:val="1A1A1A"/>
                <w:sz w:val="18"/>
                <w:szCs w:val="18"/>
              </w:rPr>
              <w:t>Typically ≥ 20 ACH; justify by recovery &amp; CCS</w:t>
            </w:r>
          </w:p>
        </w:tc>
      </w:tr>
      <w:tr w:rsidR="00CD5946" w14:paraId="1B00DECF"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6F177076" w14:textId="77777777" w:rsidR="00CD5946" w:rsidRDefault="00000000">
            <w:pPr>
              <w:spacing w:after="0"/>
            </w:pPr>
            <w:r>
              <w:rPr>
                <w:rFonts w:ascii="Arial" w:eastAsia="Arial" w:hAnsi="Arial"/>
                <w:color w:val="1A1A1A"/>
                <w:sz w:val="18"/>
                <w:szCs w:val="18"/>
              </w:rPr>
              <w:t>Recovery time</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714263F0" w14:textId="77777777" w:rsidR="00CD5946" w:rsidRDefault="00000000">
            <w:pPr>
              <w:spacing w:after="0"/>
            </w:pPr>
            <w:r>
              <w:rPr>
                <w:rFonts w:ascii="Arial" w:eastAsia="Arial" w:hAnsi="Arial"/>
                <w:color w:val="1A1A1A"/>
                <w:sz w:val="18"/>
                <w:szCs w:val="18"/>
              </w:rPr>
              <w:t>Return to classified state demonstrated (guidance ≤ 20 min; test method per ISO 14644-3)</w:t>
            </w:r>
          </w:p>
        </w:tc>
      </w:tr>
      <w:tr w:rsidR="00CD5946" w14:paraId="04214346"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0B705EFA" w14:textId="77777777" w:rsidR="00CD5946" w:rsidRDefault="00000000">
            <w:pPr>
              <w:spacing w:after="0"/>
            </w:pPr>
            <w:r>
              <w:rPr>
                <w:rFonts w:ascii="Arial" w:eastAsia="Arial" w:hAnsi="Arial"/>
                <w:color w:val="1A1A1A"/>
                <w:sz w:val="18"/>
                <w:szCs w:val="18"/>
              </w:rPr>
              <w:t>HEPA filter &amp; integrity</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70F86400" w14:textId="77777777" w:rsidR="00CD5946" w:rsidRDefault="00000000">
            <w:pPr>
              <w:spacing w:after="0"/>
            </w:pPr>
            <w:r>
              <w:rPr>
                <w:rFonts w:ascii="Arial" w:eastAsia="Arial" w:hAnsi="Arial"/>
                <w:color w:val="1A1A1A"/>
                <w:sz w:val="18"/>
                <w:szCs w:val="18"/>
              </w:rPr>
              <w:t>H14 ≥ 99.995% at MPPS (EN 1822); installed-leak test ≤ 0.01% penetration (ISO 14644-3)</w:t>
            </w:r>
          </w:p>
        </w:tc>
      </w:tr>
      <w:tr w:rsidR="00CD5946" w14:paraId="50601CAE"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0B1E7DDE" w14:textId="77777777" w:rsidR="00CD5946" w:rsidRDefault="00000000">
            <w:pPr>
              <w:spacing w:after="0"/>
            </w:pPr>
            <w:r>
              <w:rPr>
                <w:rFonts w:ascii="Arial" w:eastAsia="Arial" w:hAnsi="Arial"/>
                <w:color w:val="1A1A1A"/>
                <w:sz w:val="18"/>
                <w:szCs w:val="18"/>
              </w:rPr>
              <w:t>Temperature / RH (clean areas)</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2BCF7249" w14:textId="77777777" w:rsidR="00CD5946" w:rsidRDefault="00000000">
            <w:pPr>
              <w:spacing w:after="0"/>
            </w:pPr>
            <w:r>
              <w:rPr>
                <w:rFonts w:ascii="Arial" w:eastAsia="Arial" w:hAnsi="Arial"/>
                <w:color w:val="1A1A1A"/>
                <w:sz w:val="18"/>
                <w:szCs w:val="18"/>
              </w:rPr>
              <w:t>Comfort &amp; process-defined (typ. 18–25 °C, RH 35–60%); justified</w:t>
            </w:r>
          </w:p>
        </w:tc>
      </w:tr>
    </w:tbl>
    <w:p w14:paraId="123927F7" w14:textId="77777777" w:rsidR="00CD5946" w:rsidRDefault="00CD5946">
      <w:pPr>
        <w:spacing w:after="60"/>
      </w:pPr>
    </w:p>
    <w:p w14:paraId="35BEDFA9" w14:textId="77777777" w:rsidR="00CD5946" w:rsidRDefault="00000000">
      <w:pPr>
        <w:pStyle w:val="Heading3"/>
        <w:keepNext/>
      </w:pPr>
      <w:bookmarkStart w:id="268" w:name="__RefHeading___Toc9673_1729075678"/>
      <w:bookmarkEnd w:id="268"/>
      <w:r>
        <w:t>Water Systems (PW / WFI) &amp; Pure Steam</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012D67D2"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76972152"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1EE63935" w14:textId="77777777" w:rsidR="00CD5946" w:rsidRDefault="00000000">
            <w:pPr>
              <w:spacing w:after="0"/>
            </w:pPr>
            <w:r>
              <w:rPr>
                <w:rFonts w:ascii="Arial" w:eastAsia="Arial" w:hAnsi="Arial"/>
                <w:b/>
                <w:bCs/>
                <w:color w:val="FFFFFF"/>
                <w:sz w:val="18"/>
                <w:szCs w:val="18"/>
              </w:rPr>
              <w:t>Limit / acceptance criterion · source</w:t>
            </w:r>
          </w:p>
        </w:tc>
      </w:tr>
      <w:tr w:rsidR="00CD5946" w14:paraId="6F5605D6"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45F4944B" w14:textId="77777777" w:rsidR="00CD5946" w:rsidRDefault="00000000">
            <w:pPr>
              <w:spacing w:after="0"/>
            </w:pPr>
            <w:r>
              <w:rPr>
                <w:rFonts w:ascii="Arial" w:eastAsia="Arial" w:hAnsi="Arial"/>
                <w:color w:val="1A1A1A"/>
                <w:sz w:val="18"/>
                <w:szCs w:val="18"/>
              </w:rPr>
              <w:t>WFI — Conductivity</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52E9D325" w14:textId="77777777" w:rsidR="00CD5946" w:rsidRDefault="00000000">
            <w:pPr>
              <w:spacing w:after="0"/>
            </w:pPr>
            <w:r>
              <w:rPr>
                <w:rFonts w:ascii="Arial" w:eastAsia="Arial" w:hAnsi="Arial"/>
                <w:color w:val="1A1A1A"/>
                <w:sz w:val="18"/>
                <w:szCs w:val="18"/>
              </w:rPr>
              <w:t>≤ 1.3 µS/cm at 25 °C (Ph.Eur. / USP &lt;645&gt; stage 1)</w:t>
            </w:r>
          </w:p>
        </w:tc>
      </w:tr>
      <w:tr w:rsidR="00CD5946" w14:paraId="2028C792"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522AC2F3" w14:textId="77777777" w:rsidR="00CD5946" w:rsidRDefault="00000000">
            <w:pPr>
              <w:spacing w:after="0"/>
            </w:pPr>
            <w:r>
              <w:rPr>
                <w:rFonts w:ascii="Arial" w:eastAsia="Arial" w:hAnsi="Arial"/>
                <w:color w:val="1A1A1A"/>
                <w:sz w:val="18"/>
                <w:szCs w:val="18"/>
              </w:rPr>
              <w:t>WFI — Total Organic Carbon (TOC)</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4D85C6CF" w14:textId="77777777" w:rsidR="00CD5946" w:rsidRDefault="00000000">
            <w:pPr>
              <w:spacing w:after="0"/>
            </w:pPr>
            <w:r>
              <w:rPr>
                <w:rFonts w:ascii="Arial" w:eastAsia="Arial" w:hAnsi="Arial"/>
                <w:color w:val="1A1A1A"/>
                <w:sz w:val="18"/>
                <w:szCs w:val="18"/>
              </w:rPr>
              <w:t>≤ 0.5 mg/L (500 ppb) (Ph.Eur. / USP &lt;643&gt;)</w:t>
            </w:r>
          </w:p>
        </w:tc>
      </w:tr>
      <w:tr w:rsidR="00CD5946" w14:paraId="5DA42DFE"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577CF3BF" w14:textId="77777777" w:rsidR="00CD5946" w:rsidRDefault="00000000">
            <w:pPr>
              <w:spacing w:after="0"/>
            </w:pPr>
            <w:r>
              <w:rPr>
                <w:rFonts w:ascii="Arial" w:eastAsia="Arial" w:hAnsi="Arial"/>
                <w:color w:val="1A1A1A"/>
                <w:sz w:val="18"/>
                <w:szCs w:val="18"/>
              </w:rPr>
              <w:t>WFI — Bacterial endotoxins</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6F9FB9B4" w14:textId="77777777" w:rsidR="00CD5946" w:rsidRDefault="00000000">
            <w:pPr>
              <w:spacing w:after="0"/>
            </w:pPr>
            <w:r>
              <w:rPr>
                <w:rFonts w:ascii="Arial" w:eastAsia="Arial" w:hAnsi="Arial"/>
                <w:color w:val="1A1A1A"/>
                <w:sz w:val="18"/>
                <w:szCs w:val="18"/>
              </w:rPr>
              <w:t>&lt; 0.25 IU(EU)/mL (Ph.Eur. / USP &lt;85&gt;)</w:t>
            </w:r>
          </w:p>
        </w:tc>
      </w:tr>
      <w:tr w:rsidR="00CD5946" w14:paraId="49F4CCFD"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7E854FFF" w14:textId="77777777" w:rsidR="00CD5946" w:rsidRDefault="00000000">
            <w:pPr>
              <w:spacing w:after="0"/>
            </w:pPr>
            <w:r>
              <w:rPr>
                <w:rFonts w:ascii="Arial" w:eastAsia="Arial" w:hAnsi="Arial"/>
                <w:color w:val="1A1A1A"/>
                <w:sz w:val="18"/>
                <w:szCs w:val="18"/>
              </w:rPr>
              <w:t>WFI — Microbial (action limit)</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5B5AEAF6" w14:textId="77777777" w:rsidR="00CD5946" w:rsidRDefault="00000000">
            <w:pPr>
              <w:spacing w:after="0"/>
            </w:pPr>
            <w:r>
              <w:rPr>
                <w:rFonts w:ascii="Arial" w:eastAsia="Arial" w:hAnsi="Arial"/>
                <w:color w:val="1A1A1A"/>
                <w:sz w:val="18"/>
                <w:szCs w:val="18"/>
              </w:rPr>
              <w:t>≤ 10 CFU / 100 mL (Ph.Eur. / WHO TRS)</w:t>
            </w:r>
          </w:p>
        </w:tc>
      </w:tr>
      <w:tr w:rsidR="00CD5946" w14:paraId="0207F72B"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4F68D5C8" w14:textId="77777777" w:rsidR="00CD5946" w:rsidRDefault="00000000">
            <w:pPr>
              <w:spacing w:after="0"/>
            </w:pPr>
            <w:r>
              <w:rPr>
                <w:rFonts w:ascii="Arial" w:eastAsia="Arial" w:hAnsi="Arial"/>
                <w:color w:val="1A1A1A"/>
                <w:sz w:val="18"/>
                <w:szCs w:val="18"/>
              </w:rPr>
              <w:t>Purified Water (PW) — Conductivity</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03DE4BA0" w14:textId="77777777" w:rsidR="00CD5946" w:rsidRDefault="00000000">
            <w:pPr>
              <w:spacing w:after="0"/>
            </w:pPr>
            <w:r>
              <w:rPr>
                <w:rFonts w:ascii="Arial" w:eastAsia="Arial" w:hAnsi="Arial"/>
                <w:color w:val="1A1A1A"/>
                <w:sz w:val="18"/>
                <w:szCs w:val="18"/>
              </w:rPr>
              <w:t>≤ 5.1 µS/cm at 25 °C (Ph.Eur.); USP &lt;645&gt; stage-1 = 1.3 µS/cm at 25 °C</w:t>
            </w:r>
          </w:p>
        </w:tc>
      </w:tr>
      <w:tr w:rsidR="00CD5946" w14:paraId="1D236E32"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06A1EF63" w14:textId="77777777" w:rsidR="00CD5946" w:rsidRDefault="00000000">
            <w:pPr>
              <w:spacing w:after="0"/>
            </w:pPr>
            <w:r>
              <w:rPr>
                <w:rFonts w:ascii="Arial" w:eastAsia="Arial" w:hAnsi="Arial"/>
                <w:color w:val="1A1A1A"/>
                <w:sz w:val="18"/>
                <w:szCs w:val="18"/>
              </w:rPr>
              <w:t>Purified Water — TOC</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0D695661" w14:textId="77777777" w:rsidR="00CD5946" w:rsidRDefault="00000000">
            <w:pPr>
              <w:spacing w:after="0"/>
            </w:pPr>
            <w:r>
              <w:rPr>
                <w:rFonts w:ascii="Arial" w:eastAsia="Arial" w:hAnsi="Arial"/>
                <w:color w:val="1A1A1A"/>
                <w:sz w:val="18"/>
                <w:szCs w:val="18"/>
              </w:rPr>
              <w:t>≤ 0.5 mg/L (500 ppb)</w:t>
            </w:r>
          </w:p>
        </w:tc>
      </w:tr>
      <w:tr w:rsidR="00CD5946" w14:paraId="6F298AA2"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734729C6" w14:textId="77777777" w:rsidR="00CD5946" w:rsidRDefault="00000000">
            <w:pPr>
              <w:spacing w:after="0"/>
            </w:pPr>
            <w:r>
              <w:rPr>
                <w:rFonts w:ascii="Arial" w:eastAsia="Arial" w:hAnsi="Arial"/>
                <w:color w:val="1A1A1A"/>
                <w:sz w:val="18"/>
                <w:szCs w:val="18"/>
              </w:rPr>
              <w:t>Purified Water — Microbial (action limit)</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0C1A7C91" w14:textId="77777777" w:rsidR="00CD5946" w:rsidRDefault="00000000">
            <w:pPr>
              <w:spacing w:after="0"/>
            </w:pPr>
            <w:r>
              <w:rPr>
                <w:rFonts w:ascii="Arial" w:eastAsia="Arial" w:hAnsi="Arial"/>
                <w:color w:val="1A1A1A"/>
                <w:sz w:val="18"/>
                <w:szCs w:val="18"/>
              </w:rPr>
              <w:t>≤ 100 CFU / mL (Ph.Eur. / WHO TRS)</w:t>
            </w:r>
          </w:p>
        </w:tc>
      </w:tr>
      <w:tr w:rsidR="00CD5946" w14:paraId="412AC2B6"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27B85F64" w14:textId="77777777" w:rsidR="00CD5946" w:rsidRDefault="00000000">
            <w:pPr>
              <w:spacing w:after="0"/>
            </w:pPr>
            <w:r>
              <w:rPr>
                <w:rFonts w:ascii="Arial" w:eastAsia="Arial" w:hAnsi="Arial"/>
                <w:color w:val="1A1A1A"/>
                <w:sz w:val="18"/>
                <w:szCs w:val="18"/>
              </w:rPr>
              <w:t>Purified Water — Nitrates</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67304097" w14:textId="77777777" w:rsidR="00CD5946" w:rsidRDefault="00000000">
            <w:pPr>
              <w:spacing w:after="0"/>
            </w:pPr>
            <w:r>
              <w:rPr>
                <w:rFonts w:ascii="Arial" w:eastAsia="Arial" w:hAnsi="Arial"/>
                <w:color w:val="1A1A1A"/>
                <w:sz w:val="18"/>
                <w:szCs w:val="18"/>
              </w:rPr>
              <w:t>≤ 0.2 ppm (Ph.Eur.)</w:t>
            </w:r>
          </w:p>
        </w:tc>
      </w:tr>
      <w:tr w:rsidR="00CD5946" w14:paraId="177976C7"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207CA280" w14:textId="77777777" w:rsidR="00CD5946" w:rsidRDefault="00000000">
            <w:pPr>
              <w:spacing w:after="0"/>
            </w:pPr>
            <w:r>
              <w:rPr>
                <w:rFonts w:ascii="Arial" w:eastAsia="Arial" w:hAnsi="Arial"/>
                <w:color w:val="1A1A1A"/>
                <w:sz w:val="18"/>
                <w:szCs w:val="18"/>
              </w:rPr>
              <w:lastRenderedPageBreak/>
              <w:t>Pure / Clean Steam (condensate)</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6872CEEE" w14:textId="77777777" w:rsidR="00CD5946" w:rsidRDefault="00000000">
            <w:pPr>
              <w:spacing w:after="0"/>
            </w:pPr>
            <w:r>
              <w:rPr>
                <w:rFonts w:ascii="Arial" w:eastAsia="Arial" w:hAnsi="Arial"/>
                <w:color w:val="1A1A1A"/>
                <w:sz w:val="18"/>
                <w:szCs w:val="18"/>
              </w:rPr>
              <w:t>Meets WFI (conductivity, TOC, endotoxin); non-condensable gas ≤ 3.5% v/v; dryness ≥ 0.95 for metal loads / ≥ 0.90 for other (porous) loads; superheat ≤ 25 °C (EN 285)</w:t>
            </w:r>
          </w:p>
        </w:tc>
      </w:tr>
      <w:tr w:rsidR="00CD5946" w14:paraId="08D63429"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29CE5C81" w14:textId="77777777" w:rsidR="00CD5946" w:rsidRDefault="00000000">
            <w:pPr>
              <w:spacing w:after="0"/>
            </w:pPr>
            <w:r>
              <w:rPr>
                <w:rFonts w:ascii="Arial" w:eastAsia="Arial" w:hAnsi="Arial"/>
                <w:color w:val="1A1A1A"/>
                <w:sz w:val="18"/>
                <w:szCs w:val="18"/>
              </w:rPr>
              <w:t>Sampling frequency</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6CBF7AC8" w14:textId="77777777" w:rsidR="00CD5946" w:rsidRDefault="00000000">
            <w:pPr>
              <w:spacing w:after="0"/>
            </w:pPr>
            <w:r>
              <w:rPr>
                <w:rFonts w:ascii="Arial" w:eastAsia="Arial" w:hAnsi="Arial"/>
                <w:color w:val="1A1A1A"/>
                <w:sz w:val="18"/>
                <w:szCs w:val="18"/>
              </w:rPr>
              <w:t>All use-points over a defined cycle (each at least weekly→ per validated plan); trend (WHO TRS 1033)</w:t>
            </w:r>
          </w:p>
        </w:tc>
      </w:tr>
    </w:tbl>
    <w:p w14:paraId="1C9BB2C8" w14:textId="77777777" w:rsidR="00CD5946" w:rsidRDefault="00CD5946">
      <w:pPr>
        <w:spacing w:after="60"/>
      </w:pPr>
    </w:p>
    <w:p w14:paraId="1C266ABD" w14:textId="77777777" w:rsidR="00CD5946" w:rsidRDefault="00000000">
      <w:pPr>
        <w:pStyle w:val="Heading3"/>
        <w:keepNext/>
      </w:pPr>
      <w:bookmarkStart w:id="269" w:name="__RefHeading___Toc9675_1729075678"/>
      <w:bookmarkEnd w:id="269"/>
      <w:r>
        <w:t>Equipment, Qualification &amp; Calibration</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7737A206"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08D9A476"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20870781" w14:textId="77777777" w:rsidR="00CD5946" w:rsidRDefault="00000000">
            <w:pPr>
              <w:spacing w:after="0"/>
            </w:pPr>
            <w:r>
              <w:rPr>
                <w:rFonts w:ascii="Arial" w:eastAsia="Arial" w:hAnsi="Arial"/>
                <w:b/>
                <w:bCs/>
                <w:color w:val="FFFFFF"/>
                <w:sz w:val="18"/>
                <w:szCs w:val="18"/>
              </w:rPr>
              <w:t>Limit / acceptance criterion · source</w:t>
            </w:r>
          </w:p>
        </w:tc>
      </w:tr>
      <w:tr w:rsidR="00CD5946" w14:paraId="20873BC9"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2C4FA8EE" w14:textId="77777777" w:rsidR="00CD5946" w:rsidRDefault="00000000">
            <w:pPr>
              <w:spacing w:after="0"/>
            </w:pPr>
            <w:r>
              <w:rPr>
                <w:rFonts w:ascii="Arial" w:eastAsia="Arial" w:hAnsi="Arial"/>
                <w:color w:val="1A1A1A"/>
                <w:sz w:val="18"/>
                <w:szCs w:val="18"/>
              </w:rPr>
              <w:t>Qualification</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071089E8" w14:textId="77777777" w:rsidR="00CD5946" w:rsidRDefault="00000000">
            <w:pPr>
              <w:spacing w:after="0"/>
            </w:pPr>
            <w:r>
              <w:rPr>
                <w:rFonts w:ascii="Arial" w:eastAsia="Arial" w:hAnsi="Arial"/>
                <w:color w:val="1A1A1A"/>
                <w:sz w:val="18"/>
                <w:szCs w:val="18"/>
              </w:rPr>
              <w:t>DQ → IQ → OQ → PQ before use; requalify after change (Annex 15)</w:t>
            </w:r>
          </w:p>
        </w:tc>
      </w:tr>
      <w:tr w:rsidR="00CD5946" w14:paraId="214EE8C1"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7F0D51D3" w14:textId="77777777" w:rsidR="00CD5946" w:rsidRDefault="00000000">
            <w:pPr>
              <w:spacing w:after="0"/>
            </w:pPr>
            <w:r>
              <w:rPr>
                <w:rFonts w:ascii="Arial" w:eastAsia="Arial" w:hAnsi="Arial"/>
                <w:color w:val="1A1A1A"/>
                <w:sz w:val="18"/>
                <w:szCs w:val="18"/>
              </w:rPr>
              <w:t>Calibration traceability</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3D091A9E" w14:textId="77777777" w:rsidR="00CD5946" w:rsidRDefault="00000000">
            <w:pPr>
              <w:spacing w:after="0"/>
            </w:pPr>
            <w:r>
              <w:rPr>
                <w:rFonts w:ascii="Arial" w:eastAsia="Arial" w:hAnsi="Arial"/>
                <w:color w:val="1A1A1A"/>
                <w:sz w:val="18"/>
                <w:szCs w:val="18"/>
              </w:rPr>
              <w:t>To national/international standards; certificate in date</w:t>
            </w:r>
          </w:p>
        </w:tc>
      </w:tr>
      <w:tr w:rsidR="00CD5946" w14:paraId="2321D543"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6B440748" w14:textId="77777777" w:rsidR="00CD5946" w:rsidRDefault="00000000">
            <w:pPr>
              <w:spacing w:after="0"/>
            </w:pPr>
            <w:r>
              <w:rPr>
                <w:rFonts w:ascii="Arial" w:eastAsia="Arial" w:hAnsi="Arial"/>
                <w:color w:val="1A1A1A"/>
                <w:sz w:val="18"/>
                <w:szCs w:val="18"/>
              </w:rPr>
              <w:t>Calibration accuracy (rule of thumb)</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2BD846D3" w14:textId="77777777" w:rsidR="00CD5946" w:rsidRDefault="00000000">
            <w:pPr>
              <w:spacing w:after="0"/>
            </w:pPr>
            <w:r>
              <w:rPr>
                <w:rFonts w:ascii="Arial" w:eastAsia="Arial" w:hAnsi="Arial"/>
                <w:color w:val="1A1A1A"/>
                <w:sz w:val="18"/>
                <w:szCs w:val="18"/>
              </w:rPr>
              <w:t>Instrument accuracy ≤ ¼–⅓ of the process tolerance it controls</w:t>
            </w:r>
          </w:p>
        </w:tc>
      </w:tr>
      <w:tr w:rsidR="00CD5946" w14:paraId="6D331D6C"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63FF1F30" w14:textId="77777777" w:rsidR="00CD5946" w:rsidRDefault="00000000">
            <w:pPr>
              <w:spacing w:after="0"/>
            </w:pPr>
            <w:r>
              <w:rPr>
                <w:rFonts w:ascii="Arial" w:eastAsia="Arial" w:hAnsi="Arial"/>
                <w:color w:val="1A1A1A"/>
                <w:sz w:val="18"/>
                <w:szCs w:val="18"/>
              </w:rPr>
              <w:t>Temperature mapping (chambers/autoclaves)</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4D5C68F3" w14:textId="77777777" w:rsidR="00CD5946" w:rsidRDefault="00000000">
            <w:pPr>
              <w:spacing w:after="0"/>
            </w:pPr>
            <w:r>
              <w:rPr>
                <w:rFonts w:ascii="Arial" w:eastAsia="Arial" w:hAnsi="Arial"/>
                <w:color w:val="1A1A1A"/>
                <w:sz w:val="18"/>
                <w:szCs w:val="18"/>
              </w:rPr>
              <w:t>Empty + loaded; min/max load; documented hot/cold spots (Annex 15)</w:t>
            </w:r>
          </w:p>
        </w:tc>
      </w:tr>
      <w:tr w:rsidR="00CD5946" w14:paraId="383D26E6"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5CFCAEB2" w14:textId="77777777" w:rsidR="00CD5946" w:rsidRDefault="00000000">
            <w:pPr>
              <w:spacing w:after="0"/>
            </w:pPr>
            <w:r>
              <w:rPr>
                <w:rFonts w:ascii="Arial" w:eastAsia="Arial" w:hAnsi="Arial"/>
                <w:color w:val="1A1A1A"/>
                <w:sz w:val="18"/>
                <w:szCs w:val="18"/>
              </w:rPr>
              <w:t>Use outside calibrated range</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64C6C33F" w14:textId="77777777" w:rsidR="00CD5946" w:rsidRDefault="00000000">
            <w:pPr>
              <w:spacing w:after="0"/>
            </w:pPr>
            <w:r>
              <w:rPr>
                <w:rFonts w:ascii="Arial" w:eastAsia="Arial" w:hAnsi="Arial"/>
                <w:color w:val="1A1A1A"/>
                <w:sz w:val="18"/>
                <w:szCs w:val="18"/>
              </w:rPr>
              <w:t>Not permitted; quarantine &amp; assess data impact</w:t>
            </w:r>
          </w:p>
        </w:tc>
      </w:tr>
    </w:tbl>
    <w:p w14:paraId="1D0A0552" w14:textId="77777777" w:rsidR="00CD5946" w:rsidRDefault="00CD5946">
      <w:pPr>
        <w:spacing w:after="60"/>
      </w:pPr>
    </w:p>
    <w:p w14:paraId="247AE45F" w14:textId="77777777" w:rsidR="00CD5946" w:rsidRDefault="00000000">
      <w:pPr>
        <w:pStyle w:val="Heading3"/>
        <w:keepNext/>
      </w:pPr>
      <w:bookmarkStart w:id="270" w:name="__RefHeading___Toc9677_1729075678"/>
      <w:bookmarkEnd w:id="270"/>
      <w:r>
        <w:t>Documentation &amp; Good Documentation Practice</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7CB4CEBE"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1997D23A"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7068BA02" w14:textId="77777777" w:rsidR="00CD5946" w:rsidRDefault="00000000">
            <w:pPr>
              <w:spacing w:after="0"/>
            </w:pPr>
            <w:r>
              <w:rPr>
                <w:rFonts w:ascii="Arial" w:eastAsia="Arial" w:hAnsi="Arial"/>
                <w:b/>
                <w:bCs/>
                <w:color w:val="FFFFFF"/>
                <w:sz w:val="18"/>
                <w:szCs w:val="18"/>
              </w:rPr>
              <w:t>Limit / acceptance criterion · source</w:t>
            </w:r>
          </w:p>
        </w:tc>
      </w:tr>
      <w:tr w:rsidR="00CD5946" w14:paraId="1FEF2437"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3F6C3E24" w14:textId="77777777" w:rsidR="00CD5946" w:rsidRDefault="00000000">
            <w:pPr>
              <w:spacing w:after="0"/>
            </w:pPr>
            <w:r>
              <w:rPr>
                <w:rFonts w:ascii="Arial" w:eastAsia="Arial" w:hAnsi="Arial"/>
                <w:color w:val="1A1A1A"/>
                <w:sz w:val="18"/>
                <w:szCs w:val="18"/>
              </w:rPr>
              <w:t>Corrections</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3698D34E" w14:textId="77777777" w:rsidR="00CD5946" w:rsidRDefault="00000000">
            <w:pPr>
              <w:spacing w:after="0"/>
            </w:pPr>
            <w:r>
              <w:rPr>
                <w:rFonts w:ascii="Arial" w:eastAsia="Arial" w:hAnsi="Arial"/>
                <w:color w:val="1A1A1A"/>
                <w:sz w:val="18"/>
                <w:szCs w:val="18"/>
              </w:rPr>
              <w:t>Single line-through (original legible) + initials + date + reason (EU GMP Ch.4)</w:t>
            </w:r>
          </w:p>
        </w:tc>
      </w:tr>
      <w:tr w:rsidR="00CD5946" w14:paraId="3DC92667"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344D1365" w14:textId="77777777" w:rsidR="00CD5946" w:rsidRDefault="00000000">
            <w:pPr>
              <w:spacing w:after="0"/>
            </w:pPr>
            <w:r>
              <w:rPr>
                <w:rFonts w:ascii="Arial" w:eastAsia="Arial" w:hAnsi="Arial"/>
                <w:color w:val="1A1A1A"/>
                <w:sz w:val="18"/>
                <w:szCs w:val="18"/>
              </w:rPr>
              <w:t>Contemporaneous entry</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0BEDD320" w14:textId="77777777" w:rsidR="00CD5946" w:rsidRDefault="00000000">
            <w:pPr>
              <w:spacing w:after="0"/>
            </w:pPr>
            <w:r>
              <w:rPr>
                <w:rFonts w:ascii="Arial" w:eastAsia="Arial" w:hAnsi="Arial"/>
                <w:color w:val="1A1A1A"/>
                <w:sz w:val="18"/>
                <w:szCs w:val="18"/>
              </w:rPr>
              <w:t>Recorded at the time of the activity (ALCOA — Contemporaneous)</w:t>
            </w:r>
          </w:p>
        </w:tc>
      </w:tr>
      <w:tr w:rsidR="00CD5946" w14:paraId="5D7E8AEB"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68D30499" w14:textId="77777777" w:rsidR="00CD5946" w:rsidRDefault="00000000">
            <w:pPr>
              <w:spacing w:after="0"/>
            </w:pPr>
            <w:r>
              <w:rPr>
                <w:rFonts w:ascii="Arial" w:eastAsia="Arial" w:hAnsi="Arial"/>
                <w:color w:val="1A1A1A"/>
                <w:sz w:val="18"/>
                <w:szCs w:val="18"/>
              </w:rPr>
              <w:t>Blank/master record control</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026450DB" w14:textId="77777777" w:rsidR="00CD5946" w:rsidRDefault="00000000">
            <w:pPr>
              <w:spacing w:after="0"/>
            </w:pPr>
            <w:r>
              <w:rPr>
                <w:rFonts w:ascii="Arial" w:eastAsia="Arial" w:hAnsi="Arial"/>
                <w:color w:val="1A1A1A"/>
                <w:sz w:val="18"/>
                <w:szCs w:val="18"/>
              </w:rPr>
              <w:t>Issued, numbered &amp; reconciled; controlled copies only</w:t>
            </w:r>
          </w:p>
        </w:tc>
      </w:tr>
      <w:tr w:rsidR="00CD5946" w14:paraId="16B459B4"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5AA43D67" w14:textId="77777777" w:rsidR="00CD5946" w:rsidRDefault="00000000">
            <w:pPr>
              <w:spacing w:after="0"/>
            </w:pPr>
            <w:r>
              <w:rPr>
                <w:rFonts w:ascii="Arial" w:eastAsia="Arial" w:hAnsi="Arial"/>
                <w:color w:val="1A1A1A"/>
                <w:sz w:val="18"/>
                <w:szCs w:val="18"/>
              </w:rPr>
              <w:t>Batch record retention</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69D475B4" w14:textId="77777777" w:rsidR="00CD5946" w:rsidRDefault="00000000">
            <w:pPr>
              <w:spacing w:after="0"/>
            </w:pPr>
            <w:r>
              <w:rPr>
                <w:rFonts w:ascii="Arial" w:eastAsia="Arial" w:hAnsi="Arial"/>
                <w:color w:val="1A1A1A"/>
                <w:sz w:val="18"/>
                <w:szCs w:val="18"/>
              </w:rPr>
              <w:t>≥ 1 year past expiry or ≥ 5 years after certification (longer applies) (EU GMP Ch.4); US 21 CFR 211.180 ≥ 1 yr past expiry</w:t>
            </w:r>
          </w:p>
        </w:tc>
      </w:tr>
      <w:tr w:rsidR="00CD5946" w14:paraId="4AE4D78E"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1FE203AB" w14:textId="77777777" w:rsidR="00CD5946" w:rsidRDefault="00000000">
            <w:pPr>
              <w:spacing w:after="0"/>
            </w:pPr>
            <w:r>
              <w:rPr>
                <w:rFonts w:ascii="Arial" w:eastAsia="Arial" w:hAnsi="Arial"/>
                <w:color w:val="1A1A1A"/>
                <w:sz w:val="18"/>
                <w:szCs w:val="18"/>
              </w:rPr>
              <w:t>ALCOA+</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3CB37038" w14:textId="77777777" w:rsidR="00CD5946" w:rsidRDefault="00000000">
            <w:pPr>
              <w:spacing w:after="0"/>
            </w:pPr>
            <w:r>
              <w:rPr>
                <w:rFonts w:ascii="Arial" w:eastAsia="Arial" w:hAnsi="Arial"/>
                <w:color w:val="1A1A1A"/>
                <w:sz w:val="18"/>
                <w:szCs w:val="18"/>
              </w:rPr>
              <w:t>Attributable, Legible, Contemporaneous, Original, Accurate + Complete, Consistent, Enduring, Available</w:t>
            </w:r>
          </w:p>
        </w:tc>
      </w:tr>
    </w:tbl>
    <w:p w14:paraId="482E39CD" w14:textId="77777777" w:rsidR="00CD5946" w:rsidRDefault="00CD5946">
      <w:pPr>
        <w:spacing w:after="60"/>
      </w:pPr>
    </w:p>
    <w:p w14:paraId="306C57CC" w14:textId="77777777" w:rsidR="00CD5946" w:rsidRDefault="00000000">
      <w:pPr>
        <w:pStyle w:val="Heading3"/>
        <w:keepNext/>
      </w:pPr>
      <w:bookmarkStart w:id="271" w:name="__RefHeading___Toc9679_1729075678"/>
      <w:bookmarkEnd w:id="271"/>
      <w:r>
        <w:t>Data Integrity &amp; Computerised Systems</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3C860CC6"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4770FD48"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54B19AA2" w14:textId="77777777" w:rsidR="00CD5946" w:rsidRDefault="00000000">
            <w:pPr>
              <w:spacing w:after="0"/>
            </w:pPr>
            <w:r>
              <w:rPr>
                <w:rFonts w:ascii="Arial" w:eastAsia="Arial" w:hAnsi="Arial"/>
                <w:b/>
                <w:bCs/>
                <w:color w:val="FFFFFF"/>
                <w:sz w:val="18"/>
                <w:szCs w:val="18"/>
              </w:rPr>
              <w:t>Limit / acceptance criterion · source</w:t>
            </w:r>
          </w:p>
        </w:tc>
      </w:tr>
      <w:tr w:rsidR="00CD5946" w14:paraId="72BC2130"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7DA4CC30" w14:textId="77777777" w:rsidR="00CD5946" w:rsidRDefault="00000000">
            <w:pPr>
              <w:spacing w:after="0"/>
            </w:pPr>
            <w:r>
              <w:rPr>
                <w:rFonts w:ascii="Arial" w:eastAsia="Arial" w:hAnsi="Arial"/>
                <w:color w:val="1A1A1A"/>
                <w:sz w:val="18"/>
                <w:szCs w:val="18"/>
              </w:rPr>
              <w:t>Unique user access</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363A397C" w14:textId="77777777" w:rsidR="00CD5946" w:rsidRDefault="00000000">
            <w:pPr>
              <w:spacing w:after="0"/>
            </w:pPr>
            <w:r>
              <w:rPr>
                <w:rFonts w:ascii="Arial" w:eastAsia="Arial" w:hAnsi="Arial"/>
                <w:color w:val="1A1A1A"/>
                <w:sz w:val="18"/>
                <w:szCs w:val="18"/>
              </w:rPr>
              <w:t>Individual accounts; no shared/generic logins (Annex 11 / Part 11)</w:t>
            </w:r>
          </w:p>
        </w:tc>
      </w:tr>
      <w:tr w:rsidR="00CD5946" w14:paraId="5146BF7A"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365211CB" w14:textId="77777777" w:rsidR="00CD5946" w:rsidRDefault="00000000">
            <w:pPr>
              <w:spacing w:after="0"/>
            </w:pPr>
            <w:r>
              <w:rPr>
                <w:rFonts w:ascii="Arial" w:eastAsia="Arial" w:hAnsi="Arial"/>
                <w:color w:val="1A1A1A"/>
                <w:sz w:val="18"/>
                <w:szCs w:val="18"/>
              </w:rPr>
              <w:t>Audit trail</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05816D32" w14:textId="77777777" w:rsidR="00CD5946" w:rsidRDefault="00000000">
            <w:pPr>
              <w:spacing w:after="0"/>
            </w:pPr>
            <w:r>
              <w:rPr>
                <w:rFonts w:ascii="Arial" w:eastAsia="Arial" w:hAnsi="Arial"/>
                <w:color w:val="1A1A1A"/>
                <w:sz w:val="18"/>
                <w:szCs w:val="18"/>
              </w:rPr>
              <w:t>Enabled, secure, time-stamped; reviewed (risk-based, e.g. each batch / periodically)</w:t>
            </w:r>
          </w:p>
        </w:tc>
      </w:tr>
      <w:tr w:rsidR="00CD5946" w14:paraId="04A0A298"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222C7A86" w14:textId="77777777" w:rsidR="00CD5946" w:rsidRDefault="00000000">
            <w:pPr>
              <w:spacing w:after="0"/>
            </w:pPr>
            <w:r>
              <w:rPr>
                <w:rFonts w:ascii="Arial" w:eastAsia="Arial" w:hAnsi="Arial"/>
                <w:color w:val="1A1A1A"/>
                <w:sz w:val="18"/>
                <w:szCs w:val="18"/>
              </w:rPr>
              <w:t>Privilege segregation</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1F6519EF" w14:textId="77777777" w:rsidR="00CD5946" w:rsidRDefault="00000000">
            <w:pPr>
              <w:spacing w:after="0"/>
            </w:pPr>
            <w:r>
              <w:rPr>
                <w:rFonts w:ascii="Arial" w:eastAsia="Arial" w:hAnsi="Arial"/>
                <w:color w:val="1A1A1A"/>
                <w:sz w:val="18"/>
                <w:szCs w:val="18"/>
              </w:rPr>
              <w:t>Analysts cannot delete data or be system admins (segregation of duties)</w:t>
            </w:r>
          </w:p>
        </w:tc>
      </w:tr>
      <w:tr w:rsidR="00CD5946" w14:paraId="74823B3F"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218A609C" w14:textId="77777777" w:rsidR="00CD5946" w:rsidRDefault="00000000">
            <w:pPr>
              <w:spacing w:after="0"/>
            </w:pPr>
            <w:r>
              <w:rPr>
                <w:rFonts w:ascii="Arial" w:eastAsia="Arial" w:hAnsi="Arial"/>
                <w:color w:val="1A1A1A"/>
                <w:sz w:val="18"/>
                <w:szCs w:val="18"/>
              </w:rPr>
              <w:t>Clock control</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54A90DC6" w14:textId="77777777" w:rsidR="00CD5946" w:rsidRDefault="00000000">
            <w:pPr>
              <w:spacing w:after="0"/>
            </w:pPr>
            <w:r>
              <w:rPr>
                <w:rFonts w:ascii="Arial" w:eastAsia="Arial" w:hAnsi="Arial"/>
                <w:color w:val="1A1A1A"/>
                <w:sz w:val="18"/>
                <w:szCs w:val="18"/>
              </w:rPr>
              <w:t>System date/time locked; not user-changeable</w:t>
            </w:r>
          </w:p>
        </w:tc>
      </w:tr>
      <w:tr w:rsidR="00CD5946" w14:paraId="3B2183CA"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4327C351" w14:textId="77777777" w:rsidR="00CD5946" w:rsidRDefault="00000000">
            <w:pPr>
              <w:spacing w:after="0"/>
            </w:pPr>
            <w:r>
              <w:rPr>
                <w:rFonts w:ascii="Arial" w:eastAsia="Arial" w:hAnsi="Arial"/>
                <w:color w:val="1A1A1A"/>
                <w:sz w:val="18"/>
                <w:szCs w:val="18"/>
              </w:rPr>
              <w:t>Backup &amp; restore</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677CD5C3" w14:textId="77777777" w:rsidR="00CD5946" w:rsidRDefault="00000000">
            <w:pPr>
              <w:spacing w:after="0"/>
            </w:pPr>
            <w:r>
              <w:rPr>
                <w:rFonts w:ascii="Arial" w:eastAsia="Arial" w:hAnsi="Arial"/>
                <w:color w:val="1A1A1A"/>
                <w:sz w:val="18"/>
                <w:szCs w:val="18"/>
              </w:rPr>
              <w:t>Regular, verified, restorable; retention per record type (Annex 11)</w:t>
            </w:r>
          </w:p>
        </w:tc>
      </w:tr>
      <w:tr w:rsidR="00CD5946" w14:paraId="65B5C997"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0FC9B015" w14:textId="77777777" w:rsidR="00CD5946" w:rsidRDefault="00000000">
            <w:pPr>
              <w:spacing w:after="0"/>
            </w:pPr>
            <w:r>
              <w:rPr>
                <w:rFonts w:ascii="Arial" w:eastAsia="Arial" w:hAnsi="Arial"/>
                <w:color w:val="1A1A1A"/>
                <w:sz w:val="18"/>
                <w:szCs w:val="18"/>
              </w:rPr>
              <w:t>Validation</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4774C4FC" w14:textId="77777777" w:rsidR="00CD5946" w:rsidRDefault="00000000">
            <w:pPr>
              <w:spacing w:after="0"/>
            </w:pPr>
            <w:r>
              <w:rPr>
                <w:rFonts w:ascii="Arial" w:eastAsia="Arial" w:hAnsi="Arial"/>
                <w:color w:val="1A1A1A"/>
                <w:sz w:val="18"/>
                <w:szCs w:val="18"/>
              </w:rPr>
              <w:t>CSV / GAMP 5 risk-based lifecycle</w:t>
            </w:r>
          </w:p>
        </w:tc>
      </w:tr>
    </w:tbl>
    <w:p w14:paraId="0A03A217" w14:textId="77777777" w:rsidR="00CD5946" w:rsidRDefault="00CD5946">
      <w:pPr>
        <w:spacing w:after="60"/>
      </w:pPr>
    </w:p>
    <w:p>
      <w:pPr>
        <w:pStyle w:val="Heading3"/>
        <w:keepNext/>
      </w:pPr>
      <w:r>
        <w:t xml:space="preserve">Mutagenic Impurities &amp; Nitrosamines</w:t>
      </w:r>
    </w:p>
    <w:p>
      <w:pPr>
        <w:spacing w:after="40" w:line="266" w:lineRule="auto"/>
        <w:ind w:left="300" w:hanging="300"/>
      </w:pPr>
      <w:r>
        <w:rPr>
          <w:rFonts w:ascii="Arial" w:eastAsia="Arial" w:hAnsi="Arial"/>
          <w:b/>
          <w:bCs/>
          <w:color w:val="15512F"/>
        </w:rPr>
        <w:t xml:space="preserve">TTC-based default for mutagenic impurities: 1.5 µg/day (lifetime) — ICH M7(R2); less-than-lifetime adjustments per M7(R2). Note: under the EMA nitrosamine framework, less-than-lifetime flexing is NOT applied to nitrosamines.</w:t>
      </w:r>
    </w:p>
    <w:p>
      <w:pPr>
        <w:spacing w:after="40" w:line="266" w:lineRule="auto"/>
        <w:ind w:left="300" w:hanging="300"/>
      </w:pPr>
      <w:r>
        <w:rPr>
          <w:rFonts w:ascii="Arial" w:eastAsia="Arial" w:hAnsi="Arial"/>
          <w:b/>
          <w:bCs/>
          <w:color w:val="15512F"/>
        </w:rPr>
        <w:t xml:space="preserve">Nitrosamine acceptable intakes (examples — always confirm against the current EMA/US FDA published lists): NDMA 96 ng/day · NDEA 26.5 ng/day. For nitrosamine drug-substance-related impurities (NDSRIs) without a published limit, the Carcinogenic Potency Categorisation Approach (CPCA) assigns 18–1 500 ng/day by predicted-potency category.</w:t>
      </w:r>
    </w:p>
    <w:p>
      <w:pPr>
        <w:spacing w:after="40" w:line="266" w:lineRule="auto"/>
        <w:ind w:left="300" w:hanging="300"/>
      </w:pPr>
      <w:r>
        <w:rPr>
          <w:rFonts w:ascii="Arial" w:eastAsia="Arial" w:hAnsi="Arial"/>
          <w:b/>
          <w:bCs/>
          <w:color w:val="15512F"/>
        </w:rPr>
        <w:t xml:space="preserve">Cadence: an initial risk assessment for every product; re-assessment on any change of API route or supplier, recovered solvents, excipient grade or primary packaging; confirmatory testing with suitably sensitive methods (typically LC-MS/MS) where a risk is identified — see Chapter 5.4.3 and Part II (II.13).</w:t>
      </w:r>
    </w:p>
    <w:p>
      <w:pPr>
        <w:spacing w:after="40" w:line="266" w:lineRule="auto"/>
        <w:ind w:left="300" w:hanging="300"/>
      </w:pPr>
      <w:r>
        <w:rPr>
          <w:rFonts w:ascii="Arial" w:eastAsia="Arial" w:hAnsi="Arial"/>
          <w:b/>
          <w:bCs/>
          <w:color w:val="15512F"/>
        </w:rPr>
        <w:t xml:space="preserve">حدود القبول للنتروزامينات (أمثلة تُراجَع مقابل القوائم المنشورة): 96 نانوغرام يومياً لمركّب NDMA و26.5 نانوغرام يومياً لمركّب NDEA؛ وللشوائب المرتبطة بالمادة الفعّالة دون حدّ منشور يُطبَّق نهج تصنيف الفاعلية السرطانية بين 18 و1500 نانوغرام يومياً. ويُقيَّم كل منتج ابتداءً، ويُعاد التقييم عند أي تغيير في المسار أو المورّد أو المذيبات المستردّة أو السواغ أو التعبئة الأولية.</w:t>
      </w:r>
    </w:p>
    <w:p w14:paraId="486E05FA" w14:textId="77777777" w:rsidR="00CD5946" w:rsidRDefault="00000000">
      <w:pPr>
        <w:pStyle w:val="Heading3"/>
        <w:keepNext/>
      </w:pPr>
      <w:bookmarkStart w:id="272" w:name="__RefHeading___Toc9681_1729075678"/>
      <w:bookmarkEnd w:id="272"/>
      <w:r>
        <w:lastRenderedPageBreak/>
        <w:t>Materials Management &amp; Warehousing</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17325364"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3FE81572"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458B9725" w14:textId="77777777" w:rsidR="00CD5946" w:rsidRDefault="00000000">
            <w:pPr>
              <w:spacing w:after="0"/>
            </w:pPr>
            <w:r>
              <w:rPr>
                <w:rFonts w:ascii="Arial" w:eastAsia="Arial" w:hAnsi="Arial"/>
                <w:b/>
                <w:bCs/>
                <w:color w:val="FFFFFF"/>
                <w:sz w:val="18"/>
                <w:szCs w:val="18"/>
              </w:rPr>
              <w:t>Limit / acceptance criterion · source</w:t>
            </w:r>
          </w:p>
        </w:tc>
      </w:tr>
      <w:tr w:rsidR="00CD5946" w14:paraId="30BCA0B7"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00B5DADB" w14:textId="77777777" w:rsidR="00CD5946" w:rsidRDefault="00000000">
            <w:pPr>
              <w:spacing w:after="0"/>
            </w:pPr>
            <w:r>
              <w:rPr>
                <w:rFonts w:ascii="Arial" w:eastAsia="Arial" w:hAnsi="Arial"/>
                <w:color w:val="1A1A1A"/>
                <w:sz w:val="18"/>
                <w:szCs w:val="18"/>
              </w:rPr>
              <w:t>Storage — Frozen</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5B99A786" w14:textId="77777777" w:rsidR="00CD5946" w:rsidRDefault="00000000">
            <w:pPr>
              <w:spacing w:after="0"/>
            </w:pPr>
            <w:r>
              <w:rPr>
                <w:rFonts w:ascii="Arial" w:eastAsia="Arial" w:hAnsi="Arial"/>
                <w:color w:val="1A1A1A"/>
                <w:sz w:val="18"/>
                <w:szCs w:val="18"/>
              </w:rPr>
              <w:t>≤ −15 °C (label-defined) (ICH/WHO)</w:t>
            </w:r>
          </w:p>
        </w:tc>
      </w:tr>
      <w:tr w:rsidR="00CD5946" w14:paraId="0B1E7FF0"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4F6E5409" w14:textId="77777777" w:rsidR="00CD5946" w:rsidRDefault="00000000">
            <w:pPr>
              <w:spacing w:after="0"/>
            </w:pPr>
            <w:r>
              <w:rPr>
                <w:rFonts w:ascii="Arial" w:eastAsia="Arial" w:hAnsi="Arial"/>
                <w:color w:val="1A1A1A"/>
                <w:sz w:val="18"/>
                <w:szCs w:val="18"/>
              </w:rPr>
              <w:t>Storage — Refrigerated</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569AC904" w14:textId="77777777" w:rsidR="00CD5946" w:rsidRDefault="00000000">
            <w:pPr>
              <w:spacing w:after="0"/>
            </w:pPr>
            <w:r>
              <w:rPr>
                <w:rFonts w:ascii="Arial" w:eastAsia="Arial" w:hAnsi="Arial"/>
                <w:color w:val="1A1A1A"/>
                <w:sz w:val="18"/>
                <w:szCs w:val="18"/>
              </w:rPr>
              <w:t>2–8 °C</w:t>
            </w:r>
          </w:p>
        </w:tc>
      </w:tr>
      <w:tr w:rsidR="00CD5946" w14:paraId="55F921BF"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2C1ED9BA" w14:textId="77777777" w:rsidR="00CD5946" w:rsidRDefault="00000000">
            <w:pPr>
              <w:spacing w:after="0"/>
            </w:pPr>
            <w:r>
              <w:rPr>
                <w:rFonts w:ascii="Arial" w:eastAsia="Arial" w:hAnsi="Arial"/>
                <w:color w:val="1A1A1A"/>
                <w:sz w:val="18"/>
                <w:szCs w:val="18"/>
              </w:rPr>
              <w:t>Storage — Cool</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36938F9C" w14:textId="77777777" w:rsidR="00CD5946" w:rsidRDefault="00000000">
            <w:pPr>
              <w:spacing w:after="0"/>
            </w:pPr>
            <w:r>
              <w:rPr>
                <w:rFonts w:ascii="Arial" w:eastAsia="Arial" w:hAnsi="Arial"/>
                <w:color w:val="1A1A1A"/>
                <w:sz w:val="18"/>
                <w:szCs w:val="18"/>
              </w:rPr>
              <w:t>8–15 °C</w:t>
            </w:r>
          </w:p>
        </w:tc>
      </w:tr>
      <w:tr w:rsidR="00CD5946" w14:paraId="50C54753"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51908091" w14:textId="77777777" w:rsidR="00CD5946" w:rsidRDefault="00000000">
            <w:pPr>
              <w:spacing w:after="0"/>
            </w:pPr>
            <w:r>
              <w:rPr>
                <w:rFonts w:ascii="Arial" w:eastAsia="Arial" w:hAnsi="Arial"/>
                <w:color w:val="1A1A1A"/>
                <w:sz w:val="18"/>
                <w:szCs w:val="18"/>
              </w:rPr>
              <w:t>Storage — Room temperature</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2FA10EE6" w14:textId="77777777" w:rsidR="00CD5946" w:rsidRDefault="00000000">
            <w:pPr>
              <w:spacing w:after="0"/>
            </w:pPr>
            <w:r>
              <w:rPr>
                <w:rFonts w:ascii="Arial" w:eastAsia="Arial" w:hAnsi="Arial"/>
                <w:color w:val="1A1A1A"/>
                <w:sz w:val="18"/>
                <w:szCs w:val="18"/>
              </w:rPr>
              <w:t>15–25 °C (or 'do not exceed 30 °C' per label)</w:t>
            </w:r>
          </w:p>
        </w:tc>
      </w:tr>
      <w:tr w:rsidR="00CD5946" w14:paraId="137811CB"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3B4E16B7" w14:textId="77777777" w:rsidR="00CD5946" w:rsidRDefault="00000000">
            <w:pPr>
              <w:spacing w:after="0"/>
            </w:pPr>
            <w:r>
              <w:rPr>
                <w:rFonts w:ascii="Arial" w:eastAsia="Arial" w:hAnsi="Arial"/>
                <w:color w:val="1A1A1A"/>
                <w:sz w:val="18"/>
                <w:szCs w:val="18"/>
              </w:rPr>
              <w:t>Starting-material identity testing</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3DCA42F9" w14:textId="77777777" w:rsidR="00CD5946" w:rsidRDefault="00000000">
            <w:pPr>
              <w:spacing w:after="0"/>
            </w:pPr>
            <w:r>
              <w:rPr>
                <w:rFonts w:ascii="Arial" w:eastAsia="Arial" w:hAnsi="Arial"/>
                <w:color w:val="1A1A1A"/>
                <w:sz w:val="18"/>
                <w:szCs w:val="18"/>
              </w:rPr>
              <w:t>Identity verified on each container, or statistically justified sampling (EU GMP Annex 8)</w:t>
            </w:r>
          </w:p>
        </w:tc>
      </w:tr>
      <w:tr w:rsidR="00CD5946" w14:paraId="5FE3EF00"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004F493B" w14:textId="77777777" w:rsidR="00CD5946" w:rsidRDefault="00000000">
            <w:pPr>
              <w:spacing w:after="0"/>
            </w:pPr>
            <w:r>
              <w:rPr>
                <w:rFonts w:ascii="Arial" w:eastAsia="Arial" w:hAnsi="Arial"/>
                <w:color w:val="1A1A1A"/>
                <w:sz w:val="18"/>
                <w:szCs w:val="18"/>
              </w:rPr>
              <w:t>Sampling plan (where justified)</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7CB8FD8C" w14:textId="77777777" w:rsidR="00CD5946" w:rsidRDefault="00000000">
            <w:pPr>
              <w:spacing w:after="0"/>
            </w:pPr>
            <w:r>
              <w:rPr>
                <w:rFonts w:ascii="Arial" w:eastAsia="Arial" w:hAnsi="Arial"/>
                <w:color w:val="1A1A1A"/>
                <w:sz w:val="18"/>
                <w:szCs w:val="18"/>
              </w:rPr>
              <w:t>√n + 1 containers (indicative; not for identity) (WHO/Annex 8)</w:t>
            </w:r>
          </w:p>
        </w:tc>
      </w:tr>
      <w:tr w:rsidR="00CD5946" w14:paraId="7D98C269"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4654C710" w14:textId="77777777" w:rsidR="00CD5946" w:rsidRDefault="00000000">
            <w:pPr>
              <w:spacing w:after="0"/>
            </w:pPr>
            <w:r>
              <w:rPr>
                <w:rFonts w:ascii="Arial" w:eastAsia="Arial" w:hAnsi="Arial"/>
                <w:color w:val="1A1A1A"/>
                <w:sz w:val="18"/>
                <w:szCs w:val="18"/>
              </w:rPr>
              <w:t>Status control</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3D659884" w14:textId="77777777" w:rsidR="00CD5946" w:rsidRDefault="00000000">
            <w:pPr>
              <w:spacing w:after="0"/>
            </w:pPr>
            <w:r>
              <w:rPr>
                <w:rFonts w:ascii="Arial" w:eastAsia="Arial" w:hAnsi="Arial"/>
                <w:color w:val="1A1A1A"/>
                <w:sz w:val="18"/>
                <w:szCs w:val="18"/>
              </w:rPr>
              <w:t>Physical or validated electronic segregation: quarantine / released / rejected</w:t>
            </w:r>
          </w:p>
        </w:tc>
      </w:tr>
    </w:tbl>
    <w:p w14:paraId="68673AC4" w14:textId="77777777" w:rsidR="00CD5946" w:rsidRDefault="00CD5946">
      <w:pPr>
        <w:spacing w:after="60"/>
      </w:pPr>
    </w:p>
    <w:p w14:paraId="5B465E86" w14:textId="77777777" w:rsidR="00CD5946" w:rsidRDefault="00000000">
      <w:pPr>
        <w:pStyle w:val="Heading3"/>
        <w:keepNext/>
      </w:pPr>
      <w:bookmarkStart w:id="273" w:name="__RefHeading___Toc9683_1729075678"/>
      <w:bookmarkEnd w:id="273"/>
      <w:r>
        <w:t>Dispensing / Weighing</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40BFBF89"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35A5150B"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19252316" w14:textId="77777777" w:rsidR="00CD5946" w:rsidRDefault="00000000">
            <w:pPr>
              <w:spacing w:after="0"/>
            </w:pPr>
            <w:r>
              <w:rPr>
                <w:rFonts w:ascii="Arial" w:eastAsia="Arial" w:hAnsi="Arial"/>
                <w:b/>
                <w:bCs/>
                <w:color w:val="FFFFFF"/>
                <w:sz w:val="18"/>
                <w:szCs w:val="18"/>
              </w:rPr>
              <w:t>Limit / acceptance criterion · source</w:t>
            </w:r>
          </w:p>
        </w:tc>
      </w:tr>
      <w:tr w:rsidR="00CD5946" w14:paraId="7473747A"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1723BB9F" w14:textId="77777777" w:rsidR="00CD5946" w:rsidRDefault="00000000">
            <w:pPr>
              <w:spacing w:after="0"/>
            </w:pPr>
            <w:r>
              <w:rPr>
                <w:rFonts w:ascii="Arial" w:eastAsia="Arial" w:hAnsi="Arial"/>
                <w:color w:val="1A1A1A"/>
                <w:sz w:val="18"/>
                <w:szCs w:val="18"/>
              </w:rPr>
              <w:t>Balance minimum weight (USP &lt;41&gt;)</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50E175DD" w14:textId="77777777" w:rsidR="00CD5946" w:rsidRDefault="00000000">
            <w:pPr>
              <w:spacing w:after="0"/>
            </w:pPr>
            <w:r>
              <w:rPr>
                <w:rFonts w:ascii="Arial" w:eastAsia="Arial" w:hAnsi="Arial"/>
                <w:color w:val="1A1A1A"/>
                <w:sz w:val="18"/>
                <w:szCs w:val="18"/>
              </w:rPr>
              <w:t>Smallest net weight ≥ minimum weight, where min weight = 2000 × repeatability SD (≤ 0.10% uncertainty)</w:t>
            </w:r>
          </w:p>
        </w:tc>
      </w:tr>
      <w:tr w:rsidR="00CD5946" w14:paraId="5BF42CA7"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0C485A52" w14:textId="77777777" w:rsidR="00CD5946" w:rsidRDefault="00000000">
            <w:pPr>
              <w:spacing w:after="0"/>
            </w:pPr>
            <w:r>
              <w:rPr>
                <w:rFonts w:ascii="Arial" w:eastAsia="Arial" w:hAnsi="Arial"/>
                <w:color w:val="1A1A1A"/>
                <w:sz w:val="18"/>
                <w:szCs w:val="18"/>
              </w:rPr>
              <w:t>Weighing accuracy</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4EBDA1C7" w14:textId="77777777" w:rsidR="00CD5946" w:rsidRDefault="00000000">
            <w:pPr>
              <w:spacing w:after="0"/>
            </w:pPr>
            <w:r>
              <w:rPr>
                <w:rFonts w:ascii="Arial" w:eastAsia="Arial" w:hAnsi="Arial"/>
                <w:color w:val="1A1A1A"/>
                <w:sz w:val="18"/>
                <w:szCs w:val="18"/>
              </w:rPr>
              <w:t>≤ 0.10% of the target weight (USP &lt;41&gt;/&lt;1251&gt;)</w:t>
            </w:r>
          </w:p>
        </w:tc>
      </w:tr>
      <w:tr w:rsidR="00CD5946" w14:paraId="7C1D52CA"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4161E8F2" w14:textId="77777777" w:rsidR="00CD5946" w:rsidRDefault="00000000">
            <w:pPr>
              <w:spacing w:after="0"/>
            </w:pPr>
            <w:r>
              <w:rPr>
                <w:rFonts w:ascii="Arial" w:eastAsia="Arial" w:hAnsi="Arial"/>
                <w:color w:val="1A1A1A"/>
                <w:sz w:val="18"/>
                <w:szCs w:val="18"/>
              </w:rPr>
              <w:t>Daily balance check</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6432636E" w14:textId="77777777" w:rsidR="00CD5946" w:rsidRDefault="00000000">
            <w:pPr>
              <w:spacing w:after="0"/>
            </w:pPr>
            <w:r>
              <w:rPr>
                <w:rFonts w:ascii="Arial" w:eastAsia="Arial" w:hAnsi="Arial"/>
                <w:color w:val="1A1A1A"/>
                <w:sz w:val="18"/>
                <w:szCs w:val="18"/>
              </w:rPr>
              <w:t>Sensitivity / accuracy check with certified weights before use</w:t>
            </w:r>
          </w:p>
        </w:tc>
      </w:tr>
      <w:tr w:rsidR="00CD5946" w14:paraId="1795B392"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0BFE1BCD" w14:textId="77777777" w:rsidR="00CD5946" w:rsidRDefault="00000000">
            <w:pPr>
              <w:spacing w:after="0"/>
            </w:pPr>
            <w:r>
              <w:rPr>
                <w:rFonts w:ascii="Arial" w:eastAsia="Arial" w:hAnsi="Arial"/>
                <w:color w:val="1A1A1A"/>
                <w:sz w:val="18"/>
                <w:szCs w:val="18"/>
              </w:rPr>
              <w:t>Independent (second) verification</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2E7D4A3C" w14:textId="77777777" w:rsidR="00CD5946" w:rsidRDefault="00000000">
            <w:pPr>
              <w:spacing w:after="0"/>
            </w:pPr>
            <w:r>
              <w:rPr>
                <w:rFonts w:ascii="Arial" w:eastAsia="Arial" w:hAnsi="Arial"/>
                <w:color w:val="1A1A1A"/>
                <w:sz w:val="18"/>
                <w:szCs w:val="18"/>
              </w:rPr>
              <w:t>Required for potent/critical dispensing (EU GMP Ch.5)</w:t>
            </w:r>
          </w:p>
        </w:tc>
      </w:tr>
      <w:tr w:rsidR="00CD5946" w14:paraId="5F54D35C"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65169E5C" w14:textId="77777777" w:rsidR="00CD5946" w:rsidRDefault="00000000">
            <w:pPr>
              <w:spacing w:after="0"/>
            </w:pPr>
            <w:r>
              <w:rPr>
                <w:rFonts w:ascii="Arial" w:eastAsia="Arial" w:hAnsi="Arial"/>
                <w:color w:val="1A1A1A"/>
                <w:sz w:val="18"/>
                <w:szCs w:val="18"/>
              </w:rPr>
              <w:t>Cross-contamination control</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2FC623B6" w14:textId="77777777" w:rsidR="00CD5946" w:rsidRDefault="00000000">
            <w:pPr>
              <w:spacing w:after="0"/>
            </w:pPr>
            <w:r>
              <w:rPr>
                <w:rFonts w:ascii="Arial" w:eastAsia="Arial" w:hAnsi="Arial"/>
                <w:color w:val="1A1A1A"/>
                <w:sz w:val="18"/>
                <w:szCs w:val="18"/>
              </w:rPr>
              <w:t>Dedicated/cleaned tools; line clearance between products; booth airflow qualified</w:t>
            </w:r>
          </w:p>
        </w:tc>
      </w:tr>
    </w:tbl>
    <w:p w14:paraId="543D4CE2" w14:textId="77777777" w:rsidR="00CD5946" w:rsidRDefault="00CD5946">
      <w:pPr>
        <w:spacing w:after="60"/>
      </w:pPr>
    </w:p>
    <w:p w14:paraId="4EBB597C" w14:textId="77777777" w:rsidR="00CD5946" w:rsidRDefault="00000000">
      <w:pPr>
        <w:pStyle w:val="Heading3"/>
        <w:keepNext/>
      </w:pPr>
      <w:bookmarkStart w:id="274" w:name="__RefHeading___Toc9685_1729075678"/>
      <w:bookmarkEnd w:id="274"/>
      <w:r>
        <w:t>Production — Oral Solid Dosage</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291C5650"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0464CCA8"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2A0BFE02" w14:textId="77777777" w:rsidR="00CD5946" w:rsidRDefault="00000000">
            <w:pPr>
              <w:spacing w:after="0"/>
            </w:pPr>
            <w:r>
              <w:rPr>
                <w:rFonts w:ascii="Arial" w:eastAsia="Arial" w:hAnsi="Arial"/>
                <w:b/>
                <w:bCs/>
                <w:color w:val="FFFFFF"/>
                <w:sz w:val="18"/>
                <w:szCs w:val="18"/>
              </w:rPr>
              <w:t>Limit / acceptance criterion · source</w:t>
            </w:r>
          </w:p>
        </w:tc>
      </w:tr>
      <w:tr w:rsidR="00CD5946" w14:paraId="4C869636"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3F280EC2" w14:textId="77777777" w:rsidR="00CD5946" w:rsidRDefault="00000000">
            <w:pPr>
              <w:spacing w:after="0"/>
            </w:pPr>
            <w:r>
              <w:rPr>
                <w:rFonts w:ascii="Arial" w:eastAsia="Arial" w:hAnsi="Arial"/>
                <w:color w:val="1A1A1A"/>
                <w:sz w:val="18"/>
                <w:szCs w:val="18"/>
              </w:rPr>
              <w:t>Uniformity of dosage units (USP &lt;905&gt; / Ph.Eur 2.9.40)</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7ECAFE31" w14:textId="77777777" w:rsidR="00CD5946" w:rsidRDefault="00000000">
            <w:pPr>
              <w:spacing w:after="0"/>
            </w:pPr>
            <w:r>
              <w:rPr>
                <w:rFonts w:ascii="Arial" w:eastAsia="Arial" w:hAnsi="Arial"/>
                <w:color w:val="1A1A1A"/>
                <w:sz w:val="18"/>
                <w:szCs w:val="18"/>
              </w:rPr>
              <w:t>Acceptance Value (AV) ≤ 15.0 at L1 (n=10)</w:t>
            </w:r>
          </w:p>
        </w:tc>
      </w:tr>
      <w:tr w:rsidR="00CD5946" w14:paraId="5E57EE6C"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623D6B8F" w14:textId="77777777" w:rsidR="00CD5946" w:rsidRDefault="00000000">
            <w:pPr>
              <w:spacing w:after="0"/>
            </w:pPr>
            <w:r>
              <w:rPr>
                <w:rFonts w:ascii="Arial" w:eastAsia="Arial" w:hAnsi="Arial"/>
                <w:color w:val="1A1A1A"/>
                <w:sz w:val="18"/>
                <w:szCs w:val="18"/>
              </w:rPr>
              <w:t>Content uniformity (individual)</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695433E6" w14:textId="77777777" w:rsidR="00CD5946" w:rsidRDefault="00000000">
            <w:pPr>
              <w:spacing w:after="0"/>
            </w:pPr>
            <w:r>
              <w:rPr>
                <w:rFonts w:ascii="Arial" w:eastAsia="Arial" w:hAnsi="Arial"/>
                <w:color w:val="1A1A1A"/>
                <w:sz w:val="18"/>
                <w:szCs w:val="18"/>
              </w:rPr>
              <w:t>85.0–115.0% of label claim (within AV calculation)</w:t>
            </w:r>
          </w:p>
        </w:tc>
      </w:tr>
      <w:tr w:rsidR="00CD5946" w14:paraId="2FD67943"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6E628657" w14:textId="77777777" w:rsidR="00CD5946" w:rsidRDefault="00000000">
            <w:pPr>
              <w:spacing w:after="0"/>
            </w:pPr>
            <w:r>
              <w:rPr>
                <w:rFonts w:ascii="Arial" w:eastAsia="Arial" w:hAnsi="Arial"/>
                <w:color w:val="1A1A1A"/>
                <w:sz w:val="18"/>
                <w:szCs w:val="18"/>
              </w:rPr>
              <w:t>Dissolution — Stage S1 (USP &lt;711&gt;)</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54C8A107" w14:textId="77777777" w:rsidR="00CD5946" w:rsidRDefault="00000000">
            <w:pPr>
              <w:spacing w:after="0"/>
            </w:pPr>
            <w:r>
              <w:rPr>
                <w:rFonts w:ascii="Arial" w:eastAsia="Arial" w:hAnsi="Arial"/>
                <w:color w:val="1A1A1A"/>
                <w:sz w:val="18"/>
                <w:szCs w:val="18"/>
              </w:rPr>
              <w:t>Each of 6 units ≥ Q + 5%</w:t>
            </w:r>
          </w:p>
        </w:tc>
      </w:tr>
      <w:tr w:rsidR="00CD5946" w14:paraId="07D337BA"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51F6D282" w14:textId="77777777" w:rsidR="00CD5946" w:rsidRDefault="00000000">
            <w:pPr>
              <w:spacing w:after="0"/>
            </w:pPr>
            <w:r>
              <w:rPr>
                <w:rFonts w:ascii="Arial" w:eastAsia="Arial" w:hAnsi="Arial"/>
                <w:color w:val="1A1A1A"/>
                <w:sz w:val="18"/>
                <w:szCs w:val="18"/>
              </w:rPr>
              <w:t>Friability (USP &lt;1216&gt; / Ph.Eur 2.9.7)</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04F6B6E6" w14:textId="77777777" w:rsidR="00CD5946" w:rsidRDefault="00000000">
            <w:pPr>
              <w:spacing w:after="0"/>
            </w:pPr>
            <w:r>
              <w:rPr>
                <w:rFonts w:ascii="Arial" w:eastAsia="Arial" w:hAnsi="Arial"/>
                <w:color w:val="1A1A1A"/>
                <w:sz w:val="18"/>
                <w:szCs w:val="18"/>
              </w:rPr>
              <w:t>≤ 1.0% w/w loss</w:t>
            </w:r>
          </w:p>
        </w:tc>
      </w:tr>
      <w:tr w:rsidR="00CD5946" w14:paraId="261789EB"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4D0D8774" w14:textId="77777777" w:rsidR="00CD5946" w:rsidRDefault="00000000">
            <w:pPr>
              <w:spacing w:after="0"/>
            </w:pPr>
            <w:r>
              <w:rPr>
                <w:rFonts w:ascii="Arial" w:eastAsia="Arial" w:hAnsi="Arial"/>
                <w:color w:val="1A1A1A"/>
                <w:sz w:val="18"/>
                <w:szCs w:val="18"/>
              </w:rPr>
              <w:t>Disintegration (Ph.Eur 2.9.1)</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1B123F6A" w14:textId="77777777" w:rsidR="00CD5946" w:rsidRDefault="00000000">
            <w:pPr>
              <w:spacing w:after="0"/>
            </w:pPr>
            <w:r>
              <w:rPr>
                <w:rFonts w:ascii="Arial" w:eastAsia="Arial" w:hAnsi="Arial"/>
                <w:color w:val="1A1A1A"/>
                <w:sz w:val="18"/>
                <w:szCs w:val="18"/>
              </w:rPr>
              <w:t>Uncoated tablets ≤ 15 min; film-coated ≤ 30 min (per monograph)</w:t>
            </w:r>
          </w:p>
        </w:tc>
      </w:tr>
      <w:tr w:rsidR="00CD5946" w14:paraId="5C3A466C"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7012CFFD" w14:textId="77777777" w:rsidR="00CD5946" w:rsidRDefault="00000000">
            <w:pPr>
              <w:spacing w:after="0"/>
            </w:pPr>
            <w:r>
              <w:rPr>
                <w:rFonts w:ascii="Arial" w:eastAsia="Arial" w:hAnsi="Arial"/>
                <w:color w:val="1A1A1A"/>
                <w:sz w:val="18"/>
                <w:szCs w:val="18"/>
              </w:rPr>
              <w:t>Weight / mass variation (Ph.Eur 2.9.5)</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1CC21207" w14:textId="77777777" w:rsidR="00CD5946" w:rsidRDefault="00000000">
            <w:pPr>
              <w:spacing w:after="0"/>
            </w:pPr>
            <w:r>
              <w:rPr>
                <w:rFonts w:ascii="Arial" w:eastAsia="Arial" w:hAnsi="Arial"/>
                <w:color w:val="1A1A1A"/>
                <w:sz w:val="18"/>
                <w:szCs w:val="18"/>
              </w:rPr>
              <w:t>Within monograph limits (e.g. ±5% for tablets &gt;250 mg)</w:t>
            </w:r>
          </w:p>
        </w:tc>
      </w:tr>
      <w:tr w:rsidR="00CD5946" w14:paraId="4CF48BF7"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42AC79B2" w14:textId="77777777" w:rsidR="00CD5946" w:rsidRDefault="00000000">
            <w:pPr>
              <w:spacing w:after="0"/>
            </w:pPr>
            <w:r>
              <w:rPr>
                <w:rFonts w:ascii="Arial" w:eastAsia="Arial" w:hAnsi="Arial"/>
                <w:color w:val="1A1A1A"/>
                <w:sz w:val="18"/>
                <w:szCs w:val="18"/>
              </w:rPr>
              <w:t>LOD / moisture (where applicable)</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6DC5810C" w14:textId="77777777" w:rsidR="00CD5946" w:rsidRDefault="00000000">
            <w:pPr>
              <w:spacing w:after="0"/>
            </w:pPr>
            <w:r>
              <w:rPr>
                <w:rFonts w:ascii="Arial" w:eastAsia="Arial" w:hAnsi="Arial"/>
                <w:color w:val="1A1A1A"/>
                <w:sz w:val="18"/>
                <w:szCs w:val="18"/>
              </w:rPr>
              <w:t>Per registered specification</w:t>
            </w:r>
          </w:p>
        </w:tc>
      </w:tr>
    </w:tbl>
    <w:p w14:paraId="5CAA5E11" w14:textId="77777777" w:rsidR="00CD5946" w:rsidRDefault="00CD5946">
      <w:pPr>
        <w:spacing w:after="60"/>
      </w:pPr>
    </w:p>
    <w:p w14:paraId="0EE79C21" w14:textId="77777777" w:rsidR="00CD5946" w:rsidRDefault="00000000">
      <w:pPr>
        <w:pStyle w:val="Heading3"/>
        <w:keepNext/>
      </w:pPr>
      <w:bookmarkStart w:id="275" w:name="__RefHeading___Toc9687_1729075678"/>
      <w:bookmarkEnd w:id="275"/>
      <w:r>
        <w:t>Production — Liquids, Semisolids &amp; Topicals</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62797345"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665D4B51"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241F5E82" w14:textId="77777777" w:rsidR="00CD5946" w:rsidRDefault="00000000">
            <w:pPr>
              <w:spacing w:after="0"/>
            </w:pPr>
            <w:r>
              <w:rPr>
                <w:rFonts w:ascii="Arial" w:eastAsia="Arial" w:hAnsi="Arial"/>
                <w:b/>
                <w:bCs/>
                <w:color w:val="FFFFFF"/>
                <w:sz w:val="18"/>
                <w:szCs w:val="18"/>
              </w:rPr>
              <w:t>Limit / acceptance criterion · source</w:t>
            </w:r>
          </w:p>
        </w:tc>
      </w:tr>
      <w:tr w:rsidR="00CD5946" w14:paraId="0EB455D9"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68481A4C" w14:textId="77777777" w:rsidR="00CD5946" w:rsidRDefault="00000000">
            <w:pPr>
              <w:spacing w:after="0"/>
            </w:pPr>
            <w:r>
              <w:rPr>
                <w:rFonts w:ascii="Arial" w:eastAsia="Arial" w:hAnsi="Arial"/>
                <w:color w:val="1A1A1A"/>
                <w:sz w:val="18"/>
                <w:szCs w:val="18"/>
              </w:rPr>
              <w:t>Deliverable / fill volume (USP &lt;698&gt;; &lt;697&gt; for injections)</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3125B598" w14:textId="77777777" w:rsidR="00CD5946" w:rsidRDefault="00000000">
            <w:pPr>
              <w:spacing w:after="0"/>
            </w:pPr>
            <w:r>
              <w:rPr>
                <w:rFonts w:ascii="Arial" w:eastAsia="Arial" w:hAnsi="Arial"/>
                <w:color w:val="1A1A1A"/>
                <w:sz w:val="18"/>
                <w:szCs w:val="18"/>
              </w:rPr>
              <w:t>Not less than the labelled amount</w:t>
            </w:r>
          </w:p>
        </w:tc>
      </w:tr>
      <w:tr w:rsidR="00CD5946" w14:paraId="7914CCD7"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374E2034" w14:textId="77777777" w:rsidR="00CD5946" w:rsidRDefault="00000000">
            <w:pPr>
              <w:spacing w:after="0"/>
            </w:pPr>
            <w:r>
              <w:rPr>
                <w:rFonts w:ascii="Arial" w:eastAsia="Arial" w:hAnsi="Arial"/>
                <w:color w:val="1A1A1A"/>
                <w:sz w:val="18"/>
                <w:szCs w:val="18"/>
              </w:rPr>
              <w:t>Non-sterile microbial — oral aqueous (USP &lt;61/62&gt;; Ph.Eur 5.1.4)</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4B363179" w14:textId="77777777" w:rsidR="00CD5946" w:rsidRDefault="00000000">
            <w:pPr>
              <w:spacing w:after="0"/>
            </w:pPr>
            <w:r>
              <w:rPr>
                <w:rFonts w:ascii="Arial" w:eastAsia="Arial" w:hAnsi="Arial"/>
                <w:color w:val="1A1A1A"/>
                <w:sz w:val="18"/>
                <w:szCs w:val="18"/>
              </w:rPr>
              <w:t>TAMC ≤ 10² CFU/g(mL) ; TYMC ≤ 10¹ ; absence of E. coli /g(mL)</w:t>
            </w:r>
          </w:p>
        </w:tc>
      </w:tr>
      <w:tr w:rsidR="00CD5946" w14:paraId="32B17289"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2E0344CD" w14:textId="77777777" w:rsidR="00CD5946" w:rsidRDefault="00000000">
            <w:pPr>
              <w:spacing w:after="0"/>
            </w:pPr>
            <w:r>
              <w:rPr>
                <w:rFonts w:ascii="Arial" w:eastAsia="Arial" w:hAnsi="Arial"/>
                <w:color w:val="1A1A1A"/>
                <w:sz w:val="18"/>
                <w:szCs w:val="18"/>
              </w:rPr>
              <w:t>Non-sterile microbial — topical/transdermal</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4E732724" w14:textId="77777777" w:rsidR="00CD5946" w:rsidRDefault="00000000">
            <w:pPr>
              <w:spacing w:after="0"/>
            </w:pPr>
            <w:r>
              <w:rPr>
                <w:rFonts w:ascii="Arial" w:eastAsia="Arial" w:hAnsi="Arial"/>
                <w:color w:val="1A1A1A"/>
                <w:sz w:val="18"/>
                <w:szCs w:val="18"/>
              </w:rPr>
              <w:t>TAMC ≤ 10² ; TYMC ≤ 10¹ ; absence of S. aureus &amp; P. aeruginosa</w:t>
            </w:r>
          </w:p>
        </w:tc>
      </w:tr>
      <w:tr w:rsidR="00CD5946" w14:paraId="3A5CEC82"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5C83BF2B" w14:textId="77777777" w:rsidR="00CD5946" w:rsidRDefault="00000000">
            <w:pPr>
              <w:spacing w:after="0"/>
            </w:pPr>
            <w:r>
              <w:rPr>
                <w:rFonts w:ascii="Arial" w:eastAsia="Arial" w:hAnsi="Arial"/>
                <w:color w:val="1A1A1A"/>
                <w:sz w:val="18"/>
                <w:szCs w:val="18"/>
              </w:rPr>
              <w:lastRenderedPageBreak/>
              <w:t>Non-sterile microbial — oral non-aqueous</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4549C6D0" w14:textId="77777777" w:rsidR="00CD5946" w:rsidRDefault="00000000">
            <w:pPr>
              <w:spacing w:after="0"/>
            </w:pPr>
            <w:r>
              <w:rPr>
                <w:rFonts w:ascii="Arial" w:eastAsia="Arial" w:hAnsi="Arial"/>
                <w:color w:val="1A1A1A"/>
                <w:sz w:val="18"/>
                <w:szCs w:val="18"/>
              </w:rPr>
              <w:t>TAMC ≤ 10³ ; TYMC ≤ 10² ; absence of E. coli</w:t>
            </w:r>
          </w:p>
        </w:tc>
      </w:tr>
      <w:tr w:rsidR="00CD5946" w14:paraId="5A9EA1F5"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19EA13FE" w14:textId="77777777" w:rsidR="00CD5946" w:rsidRDefault="00000000">
            <w:pPr>
              <w:spacing w:after="0"/>
            </w:pPr>
            <w:r>
              <w:rPr>
                <w:rFonts w:ascii="Arial" w:eastAsia="Arial" w:hAnsi="Arial"/>
                <w:color w:val="1A1A1A"/>
                <w:sz w:val="18"/>
                <w:szCs w:val="18"/>
              </w:rPr>
              <w:t>pH / viscosity / homogeneity</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440DA5CE" w14:textId="77777777" w:rsidR="00CD5946" w:rsidRDefault="00000000">
            <w:pPr>
              <w:spacing w:after="0"/>
            </w:pPr>
            <w:r>
              <w:rPr>
                <w:rFonts w:ascii="Arial" w:eastAsia="Arial" w:hAnsi="Arial"/>
                <w:color w:val="1A1A1A"/>
                <w:sz w:val="18"/>
                <w:szCs w:val="18"/>
              </w:rPr>
              <w:t>Per registered specification; homogeneity verified after mixing</w:t>
            </w:r>
          </w:p>
        </w:tc>
      </w:tr>
      <w:tr w:rsidR="00CD5946" w14:paraId="31B86F18"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12B810D8" w14:textId="77777777" w:rsidR="00CD5946" w:rsidRDefault="00000000">
            <w:pPr>
              <w:spacing w:after="0"/>
            </w:pPr>
            <w:r>
              <w:rPr>
                <w:rFonts w:ascii="Arial" w:eastAsia="Arial" w:hAnsi="Arial"/>
                <w:color w:val="1A1A1A"/>
                <w:sz w:val="18"/>
                <w:szCs w:val="18"/>
              </w:rPr>
              <w:t>Bulk &amp; intermediate hold times</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3A6AE3F8" w14:textId="77777777" w:rsidR="00CD5946" w:rsidRDefault="00000000">
            <w:pPr>
              <w:spacing w:after="0"/>
            </w:pPr>
            <w:r>
              <w:rPr>
                <w:rFonts w:ascii="Arial" w:eastAsia="Arial" w:hAnsi="Arial"/>
                <w:color w:val="1A1A1A"/>
                <w:sz w:val="18"/>
                <w:szCs w:val="18"/>
              </w:rPr>
              <w:t>Validated with microbial support (water-containing products)</w:t>
            </w:r>
          </w:p>
        </w:tc>
      </w:tr>
    </w:tbl>
    <w:p w14:paraId="0B8AC8EF" w14:textId="77777777" w:rsidR="00CD5946" w:rsidRDefault="00CD5946">
      <w:pPr>
        <w:spacing w:after="60"/>
      </w:pPr>
    </w:p>
    <w:p w14:paraId="664B2ACD" w14:textId="77777777" w:rsidR="00CD5946" w:rsidRDefault="00000000">
      <w:pPr>
        <w:pStyle w:val="Heading3"/>
        <w:keepNext/>
      </w:pPr>
      <w:bookmarkStart w:id="276" w:name="__RefHeading___Toc9689_1729075678"/>
      <w:bookmarkEnd w:id="276"/>
      <w:r>
        <w:t>Sterile Manufacturing — Aseptic Processing</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6DC1FD1F"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6CB5DA3B"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1781E885" w14:textId="77777777" w:rsidR="00CD5946" w:rsidRDefault="00000000">
            <w:pPr>
              <w:spacing w:after="0"/>
            </w:pPr>
            <w:r>
              <w:rPr>
                <w:rFonts w:ascii="Arial" w:eastAsia="Arial" w:hAnsi="Arial"/>
                <w:b/>
                <w:bCs/>
                <w:color w:val="FFFFFF"/>
                <w:sz w:val="18"/>
                <w:szCs w:val="18"/>
              </w:rPr>
              <w:t>Limit / acceptance criterion · source</w:t>
            </w:r>
          </w:p>
        </w:tc>
      </w:tr>
      <w:tr w:rsidR="00CD5946" w14:paraId="02D738E2"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4618810D" w14:textId="77777777" w:rsidR="00CD5946" w:rsidRDefault="00000000">
            <w:pPr>
              <w:spacing w:after="0"/>
            </w:pPr>
            <w:r>
              <w:rPr>
                <w:rFonts w:ascii="Arial" w:eastAsia="Arial" w:hAnsi="Arial"/>
                <w:color w:val="1A1A1A"/>
                <w:sz w:val="18"/>
                <w:szCs w:val="18"/>
              </w:rPr>
              <w:t>Aseptic Process Simulation (media fill) — fill &lt; 5,000 units</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351BB40D" w14:textId="77777777" w:rsidR="00CD5946" w:rsidRDefault="00000000">
            <w:pPr>
              <w:spacing w:after="0"/>
            </w:pPr>
            <w:r>
              <w:rPr>
                <w:rFonts w:ascii="Arial" w:eastAsia="Arial" w:hAnsi="Arial"/>
                <w:color w:val="1A1A1A"/>
                <w:sz w:val="18"/>
                <w:szCs w:val="18"/>
              </w:rPr>
              <w:t>0 contaminated units; any growth → investigation (Annex 1 2022)</w:t>
            </w:r>
          </w:p>
        </w:tc>
      </w:tr>
      <w:tr w:rsidR="00CD5946" w14:paraId="37188BEC"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15ADE7A2" w14:textId="77777777" w:rsidR="00CD5946" w:rsidRDefault="00000000">
            <w:pPr>
              <w:spacing w:after="0"/>
            </w:pPr>
            <w:r>
              <w:rPr>
                <w:rFonts w:ascii="Arial" w:eastAsia="Arial" w:hAnsi="Arial"/>
                <w:color w:val="1A1A1A"/>
                <w:sz w:val="18"/>
                <w:szCs w:val="18"/>
              </w:rPr>
              <w:t>Media fill — 5,000–10,000 units</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4B9BE7CD" w14:textId="77777777" w:rsidR="00CD5946" w:rsidRDefault="00000000">
            <w:pPr>
              <w:spacing w:after="0"/>
            </w:pPr>
            <w:r>
              <w:rPr>
                <w:rFonts w:ascii="Arial" w:eastAsia="Arial" w:hAnsi="Arial"/>
                <w:color w:val="1A1A1A"/>
                <w:sz w:val="18"/>
                <w:szCs w:val="18"/>
              </w:rPr>
              <w:t>1 contaminated → investigation (consider revalidation); 2 → revalidation</w:t>
            </w:r>
          </w:p>
        </w:tc>
      </w:tr>
      <w:tr w:rsidR="00CD5946" w14:paraId="179F45B4"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43BCBE84" w14:textId="77777777" w:rsidR="00CD5946" w:rsidRDefault="00000000">
            <w:pPr>
              <w:spacing w:after="0"/>
            </w:pPr>
            <w:r>
              <w:rPr>
                <w:rFonts w:ascii="Arial" w:eastAsia="Arial" w:hAnsi="Arial"/>
                <w:color w:val="1A1A1A"/>
                <w:sz w:val="18"/>
                <w:szCs w:val="18"/>
              </w:rPr>
              <w:t>Media fill — &gt; 10,000 units</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3AE5A95E" w14:textId="77777777" w:rsidR="00CD5946" w:rsidRDefault="00000000">
            <w:pPr>
              <w:spacing w:after="0"/>
            </w:pPr>
            <w:r>
              <w:rPr>
                <w:rFonts w:ascii="Arial" w:eastAsia="Arial" w:hAnsi="Arial"/>
                <w:color w:val="1A1A1A"/>
                <w:sz w:val="18"/>
                <w:szCs w:val="18"/>
              </w:rPr>
              <w:t>1 → investigation; 2 → revalidation</w:t>
            </w:r>
          </w:p>
        </w:tc>
      </w:tr>
      <w:tr w:rsidR="00CD5946" w14:paraId="0E66A32E"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5441D9F7" w14:textId="77777777" w:rsidR="00CD5946" w:rsidRDefault="00000000">
            <w:pPr>
              <w:spacing w:after="0"/>
            </w:pPr>
            <w:r>
              <w:rPr>
                <w:rFonts w:ascii="Arial" w:eastAsia="Arial" w:hAnsi="Arial"/>
                <w:color w:val="1A1A1A"/>
                <w:sz w:val="18"/>
                <w:szCs w:val="18"/>
              </w:rPr>
              <w:t>Grade A airflow velocity</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7D53AED2" w14:textId="77777777" w:rsidR="00CD5946" w:rsidRDefault="00000000">
            <w:pPr>
              <w:spacing w:after="0"/>
            </w:pPr>
            <w:r>
              <w:rPr>
                <w:rFonts w:ascii="Arial" w:eastAsia="Arial" w:hAnsi="Arial"/>
                <w:color w:val="1A1A1A"/>
                <w:sz w:val="18"/>
                <w:szCs w:val="18"/>
              </w:rPr>
              <w:t>0.36–0.54 m/s (guidance 0.45 m/s) at working height</w:t>
            </w:r>
          </w:p>
        </w:tc>
      </w:tr>
      <w:tr w:rsidR="00CD5946" w14:paraId="1E57C572"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128EDCFA" w14:textId="77777777" w:rsidR="00CD5946" w:rsidRDefault="00000000">
            <w:pPr>
              <w:spacing w:after="0"/>
            </w:pPr>
            <w:r>
              <w:rPr>
                <w:rFonts w:ascii="Arial" w:eastAsia="Arial" w:hAnsi="Arial"/>
                <w:color w:val="1A1A1A"/>
                <w:sz w:val="18"/>
                <w:szCs w:val="18"/>
              </w:rPr>
              <w:t>Settle plate exposure</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0DC01E51" w14:textId="77777777" w:rsidR="00CD5946" w:rsidRDefault="00000000">
            <w:pPr>
              <w:spacing w:after="0"/>
            </w:pPr>
            <w:r>
              <w:rPr>
                <w:rFonts w:ascii="Arial" w:eastAsia="Arial" w:hAnsi="Arial"/>
                <w:color w:val="1A1A1A"/>
                <w:sz w:val="18"/>
                <w:szCs w:val="18"/>
              </w:rPr>
              <w:t>≤ 4 hours per plate (Annex 1)</w:t>
            </w:r>
          </w:p>
        </w:tc>
      </w:tr>
      <w:tr w:rsidR="00CD5946" w14:paraId="77D91B39"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283E6CD9" w14:textId="77777777" w:rsidR="00CD5946" w:rsidRDefault="00000000">
            <w:pPr>
              <w:spacing w:after="0"/>
            </w:pPr>
            <w:r>
              <w:rPr>
                <w:rFonts w:ascii="Arial" w:eastAsia="Arial" w:hAnsi="Arial"/>
                <w:color w:val="1A1A1A"/>
                <w:sz w:val="18"/>
                <w:szCs w:val="18"/>
              </w:rPr>
              <w:t>Grade A/B environmental limits</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7DE290C7" w14:textId="77777777" w:rsidR="00CD5946" w:rsidRDefault="00000000">
            <w:pPr>
              <w:spacing w:after="0"/>
            </w:pPr>
            <w:r>
              <w:rPr>
                <w:rFonts w:ascii="Arial" w:eastAsia="Arial" w:hAnsi="Arial"/>
                <w:color w:val="1A1A1A"/>
                <w:sz w:val="18"/>
                <w:szCs w:val="18"/>
              </w:rPr>
              <w:t>Grade A: no growth; full table per the HVAC section of this Appendix (HVAC)</w:t>
            </w:r>
          </w:p>
        </w:tc>
      </w:tr>
      <w:tr w:rsidR="00CD5946" w14:paraId="4FB07010"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5EF66080" w14:textId="77777777" w:rsidR="00CD5946" w:rsidRDefault="00000000">
            <w:pPr>
              <w:spacing w:after="0"/>
            </w:pPr>
            <w:r>
              <w:rPr>
                <w:rFonts w:ascii="Arial" w:eastAsia="Arial" w:hAnsi="Arial"/>
                <w:color w:val="1A1A1A"/>
                <w:sz w:val="18"/>
                <w:szCs w:val="18"/>
              </w:rPr>
              <w:t>Sterility test (USP &lt;71&gt; / Ph.Eur 2.6.1)</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2CE10603" w14:textId="77777777" w:rsidR="00CD5946" w:rsidRDefault="00000000">
            <w:pPr>
              <w:spacing w:after="0"/>
            </w:pPr>
            <w:r>
              <w:rPr>
                <w:rFonts w:ascii="Arial" w:eastAsia="Arial" w:hAnsi="Arial"/>
                <w:color w:val="1A1A1A"/>
                <w:sz w:val="18"/>
                <w:szCs w:val="18"/>
              </w:rPr>
              <w:t>Membrane filtration preferred; 14-day incubation</w:t>
            </w:r>
          </w:p>
        </w:tc>
      </w:tr>
      <w:tr w:rsidR="00CD5946" w14:paraId="609A24D9"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3EC800E3" w14:textId="77777777" w:rsidR="00CD5946" w:rsidRDefault="00000000">
            <w:pPr>
              <w:spacing w:after="0"/>
            </w:pPr>
            <w:r>
              <w:rPr>
                <w:rFonts w:ascii="Arial" w:eastAsia="Arial" w:hAnsi="Arial"/>
                <w:color w:val="1A1A1A"/>
                <w:sz w:val="18"/>
                <w:szCs w:val="18"/>
              </w:rPr>
              <w:t>Container closure integrity (CCIT)</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19D6CD99" w14:textId="77777777" w:rsidR="00CD5946" w:rsidRDefault="00000000">
            <w:pPr>
              <w:spacing w:after="0"/>
            </w:pPr>
            <w:r>
              <w:rPr>
                <w:rFonts w:ascii="Arial" w:eastAsia="Arial" w:hAnsi="Arial"/>
                <w:color w:val="1A1A1A"/>
                <w:sz w:val="18"/>
                <w:szCs w:val="18"/>
              </w:rPr>
              <w:t>Validated (deterministic methods preferred); supports — never replaces — sterility assurance (Annex 1)</w:t>
            </w:r>
          </w:p>
        </w:tc>
      </w:tr>
    </w:tbl>
    <w:p w14:paraId="14847080" w14:textId="77777777" w:rsidR="00CD5946" w:rsidRDefault="00CD5946">
      <w:pPr>
        <w:spacing w:after="60"/>
      </w:pPr>
    </w:p>
    <w:p w14:paraId="37DCA5E8" w14:textId="77777777" w:rsidR="00CD5946" w:rsidRDefault="00000000">
      <w:pPr>
        <w:pStyle w:val="Heading3"/>
        <w:keepNext/>
      </w:pPr>
      <w:bookmarkStart w:id="277" w:name="__RefHeading___Toc9691_1729075678"/>
      <w:bookmarkEnd w:id="277"/>
      <w:r>
        <w:t>Sterilisation &amp; Lyophilisation</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35E0BB6B"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26D59318"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6A78C314" w14:textId="77777777" w:rsidR="00CD5946" w:rsidRDefault="00000000">
            <w:pPr>
              <w:spacing w:after="0"/>
            </w:pPr>
            <w:r>
              <w:rPr>
                <w:rFonts w:ascii="Arial" w:eastAsia="Arial" w:hAnsi="Arial"/>
                <w:b/>
                <w:bCs/>
                <w:color w:val="FFFFFF"/>
                <w:sz w:val="18"/>
                <w:szCs w:val="18"/>
              </w:rPr>
              <w:t>Limit / acceptance criterion · source</w:t>
            </w:r>
          </w:p>
        </w:tc>
      </w:tr>
      <w:tr w:rsidR="00CD5946" w14:paraId="496A12BF"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0982D9F5" w14:textId="77777777" w:rsidR="00CD5946" w:rsidRDefault="00000000">
            <w:pPr>
              <w:spacing w:after="0"/>
            </w:pPr>
            <w:r>
              <w:rPr>
                <w:rFonts w:ascii="Arial" w:eastAsia="Arial" w:hAnsi="Arial"/>
                <w:color w:val="1A1A1A"/>
                <w:sz w:val="18"/>
                <w:szCs w:val="18"/>
              </w:rPr>
              <w:t>Sterility Assurance Level (SAL)</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7BF0368F" w14:textId="77777777" w:rsidR="00CD5946" w:rsidRDefault="00000000">
            <w:pPr>
              <w:spacing w:after="0"/>
            </w:pPr>
            <w:r>
              <w:rPr>
                <w:rFonts w:ascii="Arial" w:eastAsia="Arial" w:hAnsi="Arial"/>
                <w:color w:val="1A1A1A"/>
                <w:sz w:val="18"/>
                <w:szCs w:val="18"/>
              </w:rPr>
              <w:t>≤ 10⁻⁶ (terminally sterilised products)</w:t>
            </w:r>
          </w:p>
        </w:tc>
      </w:tr>
      <w:tr w:rsidR="00CD5946" w14:paraId="0764EC1A"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055DFA8A" w14:textId="77777777" w:rsidR="00CD5946" w:rsidRDefault="00000000">
            <w:pPr>
              <w:spacing w:after="0"/>
            </w:pPr>
            <w:r>
              <w:rPr>
                <w:rFonts w:ascii="Arial" w:eastAsia="Arial" w:hAnsi="Arial"/>
                <w:color w:val="1A1A1A"/>
                <w:sz w:val="18"/>
                <w:szCs w:val="18"/>
              </w:rPr>
              <w:t>Moist heat (reference)</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016128C0" w14:textId="77777777" w:rsidR="00CD5946" w:rsidRDefault="00000000">
            <w:pPr>
              <w:spacing w:after="0"/>
            </w:pPr>
            <w:r>
              <w:rPr>
                <w:rFonts w:ascii="Arial" w:eastAsia="Arial" w:hAnsi="Arial"/>
                <w:color w:val="1A1A1A"/>
                <w:sz w:val="18"/>
                <w:szCs w:val="18"/>
              </w:rPr>
              <w:t>121 °C; F0 ≥ 8 min (overkill F0 ≥ 12–15 min)</w:t>
            </w:r>
          </w:p>
        </w:tc>
      </w:tr>
      <w:tr w:rsidR="00CD5946" w14:paraId="7E9274BC"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45C24437" w14:textId="77777777" w:rsidR="00CD5946" w:rsidRDefault="00000000">
            <w:pPr>
              <w:spacing w:after="0"/>
            </w:pPr>
            <w:r>
              <w:rPr>
                <w:rFonts w:ascii="Arial" w:eastAsia="Arial" w:hAnsi="Arial"/>
                <w:color w:val="1A1A1A"/>
                <w:sz w:val="18"/>
                <w:szCs w:val="18"/>
              </w:rPr>
              <w:t>Dry-heat depyrogenation</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48BFBBBF" w14:textId="77777777" w:rsidR="00CD5946" w:rsidRDefault="00000000">
            <w:pPr>
              <w:spacing w:after="0"/>
            </w:pPr>
            <w:r>
              <w:rPr>
                <w:rFonts w:ascii="Arial" w:eastAsia="Arial" w:hAnsi="Arial"/>
                <w:color w:val="1A1A1A"/>
                <w:sz w:val="18"/>
                <w:szCs w:val="18"/>
              </w:rPr>
              <w:t>≥ 250 °C for ≥ 30 min → ≥ 3-log reduction of endotoxin</w:t>
            </w:r>
          </w:p>
        </w:tc>
      </w:tr>
      <w:tr w:rsidR="00CD5946" w14:paraId="770FC676"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53955525" w14:textId="77777777" w:rsidR="00CD5946" w:rsidRDefault="00000000">
            <w:pPr>
              <w:spacing w:after="0"/>
            </w:pPr>
            <w:r>
              <w:rPr>
                <w:rFonts w:ascii="Arial" w:eastAsia="Arial" w:hAnsi="Arial"/>
                <w:color w:val="1A1A1A"/>
                <w:sz w:val="18"/>
                <w:szCs w:val="18"/>
              </w:rPr>
              <w:t>Radiation sterilisation</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22F0483B" w14:textId="77777777" w:rsidR="00CD5946" w:rsidRDefault="00000000">
            <w:pPr>
              <w:spacing w:after="0"/>
            </w:pPr>
            <w:r>
              <w:rPr>
                <w:rFonts w:ascii="Arial" w:eastAsia="Arial" w:hAnsi="Arial"/>
                <w:color w:val="1A1A1A"/>
                <w:sz w:val="18"/>
                <w:szCs w:val="18"/>
              </w:rPr>
              <w:t>Typical dose 25 kGy (validate by ISO 11137)</w:t>
            </w:r>
          </w:p>
        </w:tc>
      </w:tr>
      <w:tr w:rsidR="00CD5946" w14:paraId="2C1D66F2"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333DA490" w14:textId="77777777" w:rsidR="00CD5946" w:rsidRDefault="00000000">
            <w:pPr>
              <w:spacing w:after="0"/>
            </w:pPr>
            <w:r>
              <w:rPr>
                <w:rFonts w:ascii="Arial" w:eastAsia="Arial" w:hAnsi="Arial"/>
                <w:color w:val="1A1A1A"/>
                <w:sz w:val="18"/>
                <w:szCs w:val="18"/>
              </w:rPr>
              <w:t>Pre-sterilisation bioburden</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5EDF005A" w14:textId="77777777" w:rsidR="00CD5946" w:rsidRDefault="00000000">
            <w:pPr>
              <w:spacing w:after="0"/>
            </w:pPr>
            <w:r>
              <w:rPr>
                <w:rFonts w:ascii="Arial" w:eastAsia="Arial" w:hAnsi="Arial"/>
                <w:color w:val="1A1A1A"/>
                <w:sz w:val="18"/>
                <w:szCs w:val="18"/>
              </w:rPr>
              <w:t>Defined low limit (e.g. ≤ 10 CFU/article) &amp; monitored</w:t>
            </w:r>
          </w:p>
        </w:tc>
      </w:tr>
      <w:tr w:rsidR="00CD5946" w14:paraId="2F8E90AF"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7F031B1E" w14:textId="77777777" w:rsidR="00CD5946" w:rsidRDefault="00000000">
            <w:pPr>
              <w:spacing w:after="0"/>
            </w:pPr>
            <w:r>
              <w:rPr>
                <w:rFonts w:ascii="Arial" w:eastAsia="Arial" w:hAnsi="Arial"/>
                <w:color w:val="1A1A1A"/>
                <w:sz w:val="18"/>
                <w:szCs w:val="18"/>
              </w:rPr>
              <w:t>Steam quality (EN 285)</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3534397F" w14:textId="77777777" w:rsidR="00CD5946" w:rsidRDefault="00000000">
            <w:pPr>
              <w:spacing w:after="0"/>
            </w:pPr>
            <w:r>
              <w:rPr>
                <w:rFonts w:ascii="Arial" w:eastAsia="Arial" w:hAnsi="Arial"/>
                <w:color w:val="1A1A1A"/>
                <w:sz w:val="18"/>
                <w:szCs w:val="18"/>
              </w:rPr>
              <w:t>Non-condensable gas ≤ 3.5% v/v; dryness ≥ 0.95 for metal loads / ≥ 0.90 for other loads; superheat ≤ 25 °C</w:t>
            </w:r>
          </w:p>
        </w:tc>
      </w:tr>
      <w:tr w:rsidR="00CD5946" w14:paraId="3CED2D73"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0B51515C" w14:textId="77777777" w:rsidR="00CD5946" w:rsidRDefault="00000000">
            <w:pPr>
              <w:spacing w:after="0"/>
            </w:pPr>
            <w:r>
              <w:rPr>
                <w:rFonts w:ascii="Arial" w:eastAsia="Arial" w:hAnsi="Arial"/>
                <w:color w:val="1A1A1A"/>
                <w:sz w:val="18"/>
                <w:szCs w:val="18"/>
              </w:rPr>
              <w:t>Biological indicators</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49AAEA59" w14:textId="77777777" w:rsidR="00CD5946" w:rsidRDefault="00000000">
            <w:pPr>
              <w:spacing w:after="0"/>
            </w:pPr>
            <w:r>
              <w:rPr>
                <w:rFonts w:ascii="Arial" w:eastAsia="Arial" w:hAnsi="Arial"/>
                <w:color w:val="1A1A1A"/>
                <w:sz w:val="18"/>
                <w:szCs w:val="18"/>
              </w:rPr>
              <w:t>Appropriate D-value organism (e.g. G. stearothermophilus for moist heat)</w:t>
            </w:r>
          </w:p>
        </w:tc>
      </w:tr>
    </w:tbl>
    <w:p w14:paraId="71F57BCD" w14:textId="77777777" w:rsidR="00CD5946" w:rsidRDefault="00CD5946">
      <w:pPr>
        <w:spacing w:after="60"/>
      </w:pPr>
    </w:p>
    <w:p w14:paraId="719B5E4E" w14:textId="77777777" w:rsidR="00CD5946" w:rsidRDefault="00000000">
      <w:pPr>
        <w:pStyle w:val="Heading3"/>
        <w:keepNext/>
      </w:pPr>
      <w:bookmarkStart w:id="278" w:name="__RefHeading___Toc9693_1729075678"/>
      <w:bookmarkEnd w:id="278"/>
      <w:r>
        <w:t>Packaging &amp; Labelling</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4718F45C"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707DD9D5"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271AB831" w14:textId="77777777" w:rsidR="00CD5946" w:rsidRDefault="00000000">
            <w:pPr>
              <w:spacing w:after="0"/>
            </w:pPr>
            <w:r>
              <w:rPr>
                <w:rFonts w:ascii="Arial" w:eastAsia="Arial" w:hAnsi="Arial"/>
                <w:b/>
                <w:bCs/>
                <w:color w:val="FFFFFF"/>
                <w:sz w:val="18"/>
                <w:szCs w:val="18"/>
              </w:rPr>
              <w:t>Limit / acceptance criterion · source</w:t>
            </w:r>
          </w:p>
        </w:tc>
      </w:tr>
      <w:tr w:rsidR="00CD5946" w14:paraId="42B59238"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23634EFB" w14:textId="77777777" w:rsidR="00CD5946" w:rsidRDefault="00000000">
            <w:pPr>
              <w:spacing w:after="0"/>
            </w:pPr>
            <w:r>
              <w:rPr>
                <w:rFonts w:ascii="Arial" w:eastAsia="Arial" w:hAnsi="Arial"/>
                <w:color w:val="1A1A1A"/>
                <w:sz w:val="18"/>
                <w:szCs w:val="18"/>
              </w:rPr>
              <w:t>Label reconciliation</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33D9B9B1" w14:textId="77777777" w:rsidR="00CD5946" w:rsidRDefault="00000000">
            <w:pPr>
              <w:spacing w:after="0"/>
            </w:pPr>
            <w:r>
              <w:rPr>
                <w:rFonts w:ascii="Arial" w:eastAsia="Arial" w:hAnsi="Arial"/>
                <w:color w:val="1A1A1A"/>
                <w:sz w:val="18"/>
                <w:szCs w:val="18"/>
              </w:rPr>
              <w:t>100% accounted: issued = used + returned + destroyed (EU GMP Ch.5)</w:t>
            </w:r>
          </w:p>
        </w:tc>
      </w:tr>
      <w:tr w:rsidR="00CD5946" w14:paraId="1C490D66"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4AB73CCB" w14:textId="77777777" w:rsidR="00CD5946" w:rsidRDefault="00000000">
            <w:pPr>
              <w:spacing w:after="0"/>
            </w:pPr>
            <w:r>
              <w:rPr>
                <w:rFonts w:ascii="Arial" w:eastAsia="Arial" w:hAnsi="Arial"/>
                <w:color w:val="1A1A1A"/>
                <w:sz w:val="18"/>
                <w:szCs w:val="18"/>
              </w:rPr>
              <w:t>Line clearance</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72A41867" w14:textId="77777777" w:rsidR="00CD5946" w:rsidRDefault="00000000">
            <w:pPr>
              <w:spacing w:after="0"/>
            </w:pPr>
            <w:r>
              <w:rPr>
                <w:rFonts w:ascii="Arial" w:eastAsia="Arial" w:hAnsi="Arial"/>
                <w:color w:val="1A1A1A"/>
                <w:sz w:val="18"/>
                <w:szCs w:val="18"/>
              </w:rPr>
              <w:t>Documented before start &amp; after changeover (no stray product/labels)</w:t>
            </w:r>
          </w:p>
        </w:tc>
      </w:tr>
      <w:tr w:rsidR="00CD5946" w14:paraId="128CFCA2"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3993BDC6" w14:textId="77777777" w:rsidR="00CD5946" w:rsidRDefault="00000000">
            <w:pPr>
              <w:spacing w:after="0"/>
            </w:pPr>
            <w:r>
              <w:rPr>
                <w:rFonts w:ascii="Arial" w:eastAsia="Arial" w:hAnsi="Arial"/>
                <w:color w:val="1A1A1A"/>
                <w:sz w:val="18"/>
                <w:szCs w:val="18"/>
              </w:rPr>
              <w:t>Variable-data verification</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73E425D9" w14:textId="77777777" w:rsidR="00CD5946" w:rsidRDefault="00000000">
            <w:pPr>
              <w:spacing w:after="0"/>
            </w:pPr>
            <w:r>
              <w:rPr>
                <w:rFonts w:ascii="Arial" w:eastAsia="Arial" w:hAnsi="Arial"/>
                <w:color w:val="1A1A1A"/>
                <w:sz w:val="18"/>
                <w:szCs w:val="18"/>
              </w:rPr>
              <w:t>Lot &amp; expiry checked by challenged camera/scanner system (Annex 11)</w:t>
            </w:r>
          </w:p>
        </w:tc>
      </w:tr>
      <w:tr w:rsidR="00CD5946" w14:paraId="19120D83"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45C47DA3" w14:textId="77777777" w:rsidR="00CD5946" w:rsidRDefault="00000000">
            <w:pPr>
              <w:spacing w:after="0"/>
            </w:pPr>
            <w:r>
              <w:rPr>
                <w:rFonts w:ascii="Arial" w:eastAsia="Arial" w:hAnsi="Arial"/>
                <w:color w:val="1A1A1A"/>
                <w:sz w:val="18"/>
                <w:szCs w:val="18"/>
              </w:rPr>
              <w:t>Serialisation (where required)</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1E14A531" w14:textId="77777777" w:rsidR="00CD5946" w:rsidRDefault="00000000">
            <w:pPr>
              <w:spacing w:after="0"/>
            </w:pPr>
            <w:r>
              <w:rPr>
                <w:rFonts w:ascii="Arial" w:eastAsia="Arial" w:hAnsi="Arial"/>
                <w:color w:val="1A1A1A"/>
                <w:sz w:val="18"/>
                <w:szCs w:val="18"/>
              </w:rPr>
              <w:t>GS1 2D + tamper-evidence (EU FMD 2011/62/EU)</w:t>
            </w:r>
          </w:p>
        </w:tc>
      </w:tr>
      <w:tr w:rsidR="00CD5946" w14:paraId="19B3AFA0"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649D23B8" w14:textId="77777777" w:rsidR="00CD5946" w:rsidRDefault="00000000">
            <w:pPr>
              <w:spacing w:after="0"/>
            </w:pPr>
            <w:r>
              <w:rPr>
                <w:rFonts w:ascii="Arial" w:eastAsia="Arial" w:hAnsi="Arial"/>
                <w:color w:val="1A1A1A"/>
                <w:sz w:val="18"/>
                <w:szCs w:val="18"/>
              </w:rPr>
              <w:t>Reconciliation of printed components</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7B702E78" w14:textId="77777777" w:rsidR="00CD5946" w:rsidRDefault="00000000">
            <w:pPr>
              <w:spacing w:after="0"/>
            </w:pPr>
            <w:r>
              <w:rPr>
                <w:rFonts w:ascii="Arial" w:eastAsia="Arial" w:hAnsi="Arial"/>
                <w:color w:val="1A1A1A"/>
                <w:sz w:val="18"/>
                <w:szCs w:val="18"/>
              </w:rPr>
              <w:t>Within defined yield limits; variances investigated</w:t>
            </w:r>
          </w:p>
        </w:tc>
      </w:tr>
    </w:tbl>
    <w:p w14:paraId="1D6554AF" w14:textId="77777777" w:rsidR="00CD5946" w:rsidRDefault="00CD5946">
      <w:pPr>
        <w:spacing w:after="60"/>
      </w:pPr>
    </w:p>
    <w:p w14:paraId="536E82F5" w14:textId="77777777" w:rsidR="00CD5946" w:rsidRDefault="00000000">
      <w:pPr>
        <w:pStyle w:val="Heading3"/>
        <w:keepNext/>
      </w:pPr>
      <w:bookmarkStart w:id="279" w:name="__RefHeading___Toc9695_1729075678"/>
      <w:bookmarkEnd w:id="279"/>
      <w:r>
        <w:lastRenderedPageBreak/>
        <w:t>Quality Control — Chemical / Analytical Laboratory</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1D9D7951"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51A2D27C"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6E71C4F2" w14:textId="77777777" w:rsidR="00CD5946" w:rsidRDefault="00000000">
            <w:pPr>
              <w:spacing w:after="0"/>
            </w:pPr>
            <w:r>
              <w:rPr>
                <w:rFonts w:ascii="Arial" w:eastAsia="Arial" w:hAnsi="Arial"/>
                <w:b/>
                <w:bCs/>
                <w:color w:val="FFFFFF"/>
                <w:sz w:val="18"/>
                <w:szCs w:val="18"/>
              </w:rPr>
              <w:t>Limit / acceptance criterion · source</w:t>
            </w:r>
          </w:p>
        </w:tc>
      </w:tr>
      <w:tr w:rsidR="00CD5946" w14:paraId="7BDD7151"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3D43E694" w14:textId="77777777" w:rsidR="00CD5946" w:rsidRDefault="00000000">
            <w:pPr>
              <w:spacing w:after="0"/>
            </w:pPr>
            <w:r>
              <w:rPr>
                <w:rFonts w:ascii="Arial" w:eastAsia="Arial" w:hAnsi="Arial"/>
                <w:color w:val="1A1A1A"/>
                <w:sz w:val="18"/>
                <w:szCs w:val="18"/>
              </w:rPr>
              <w:t>System suitability (USP &lt;621&gt;)</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70F1808C" w14:textId="77777777" w:rsidR="00CD5946" w:rsidRDefault="00000000">
            <w:pPr>
              <w:spacing w:after="0"/>
            </w:pPr>
            <w:r>
              <w:rPr>
                <w:rFonts w:ascii="Arial" w:eastAsia="Arial" w:hAnsi="Arial"/>
                <w:color w:val="1A1A1A"/>
                <w:sz w:val="18"/>
                <w:szCs w:val="18"/>
              </w:rPr>
              <w:t>Assay RSD ≤ 2.0% (≥5 inj.); resolution ≥ 2.0; tailing ≤ 2.0; plates per method</w:t>
            </w:r>
          </w:p>
        </w:tc>
      </w:tr>
      <w:tr w:rsidR="00CD5946" w14:paraId="395DB264"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7951375E" w14:textId="77777777" w:rsidR="00CD5946" w:rsidRDefault="00000000">
            <w:pPr>
              <w:spacing w:after="0"/>
            </w:pPr>
            <w:r>
              <w:rPr>
                <w:rFonts w:ascii="Arial" w:eastAsia="Arial" w:hAnsi="Arial"/>
                <w:color w:val="1A1A1A"/>
                <w:sz w:val="18"/>
                <w:szCs w:val="18"/>
              </w:rPr>
              <w:t>Method validation accuracy (ICH Q2)</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3BC61699" w14:textId="77777777" w:rsidR="00CD5946" w:rsidRDefault="00000000">
            <w:pPr>
              <w:spacing w:after="0"/>
            </w:pPr>
            <w:r>
              <w:rPr>
                <w:rFonts w:ascii="Arial" w:eastAsia="Arial" w:hAnsi="Arial"/>
                <w:color w:val="1A1A1A"/>
                <w:sz w:val="18"/>
                <w:szCs w:val="18"/>
              </w:rPr>
              <w:t>Recovery 98–102% (assay); linearity r ≥ 0.999</w:t>
            </w:r>
          </w:p>
        </w:tc>
      </w:tr>
      <w:tr w:rsidR="00CD5946" w14:paraId="398AE335"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5A9172C1" w14:textId="77777777" w:rsidR="00CD5946" w:rsidRDefault="00000000">
            <w:pPr>
              <w:spacing w:after="0"/>
            </w:pPr>
            <w:r>
              <w:rPr>
                <w:rFonts w:ascii="Arial" w:eastAsia="Arial" w:hAnsi="Arial"/>
                <w:color w:val="1A1A1A"/>
                <w:sz w:val="18"/>
                <w:szCs w:val="18"/>
              </w:rPr>
              <w:t>OOS handling (FDA OOS guidance)</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18EC3A72" w14:textId="77777777" w:rsidR="00CD5946" w:rsidRDefault="00000000">
            <w:pPr>
              <w:spacing w:after="0"/>
            </w:pPr>
            <w:r>
              <w:rPr>
                <w:rFonts w:ascii="Arial" w:eastAsia="Arial" w:hAnsi="Arial"/>
                <w:color w:val="1A1A1A"/>
                <w:sz w:val="18"/>
                <w:szCs w:val="18"/>
              </w:rPr>
              <w:t>Phase I (lab) → Phase II (full) investigation; no 'testing into compliance'</w:t>
            </w:r>
          </w:p>
        </w:tc>
      </w:tr>
      <w:tr w:rsidR="00CD5946" w14:paraId="78E8688F"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203B4026" w14:textId="77777777" w:rsidR="00CD5946" w:rsidRDefault="00000000">
            <w:pPr>
              <w:spacing w:after="0"/>
            </w:pPr>
            <w:r>
              <w:rPr>
                <w:rFonts w:ascii="Arial" w:eastAsia="Arial" w:hAnsi="Arial"/>
                <w:color w:val="1A1A1A"/>
                <w:sz w:val="18"/>
                <w:szCs w:val="18"/>
              </w:rPr>
              <w:t>Reference standards</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1C18A7C1" w14:textId="77777777" w:rsidR="00CD5946" w:rsidRDefault="00000000">
            <w:pPr>
              <w:spacing w:after="0"/>
            </w:pPr>
            <w:r>
              <w:rPr>
                <w:rFonts w:ascii="Arial" w:eastAsia="Arial" w:hAnsi="Arial"/>
                <w:color w:val="1A1A1A"/>
                <w:sz w:val="18"/>
                <w:szCs w:val="18"/>
              </w:rPr>
              <w:t>Qualified, traceable, within validity; working std vs primary</w:t>
            </w:r>
          </w:p>
        </w:tc>
      </w:tr>
      <w:tr w:rsidR="00CD5946" w14:paraId="62B4B965"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070020CD" w14:textId="77777777" w:rsidR="00CD5946" w:rsidRDefault="00000000">
            <w:pPr>
              <w:spacing w:after="0"/>
            </w:pPr>
            <w:r>
              <w:rPr>
                <w:rFonts w:ascii="Arial" w:eastAsia="Arial" w:hAnsi="Arial"/>
                <w:color w:val="1A1A1A"/>
                <w:sz w:val="18"/>
                <w:szCs w:val="18"/>
              </w:rPr>
              <w:t>Analytical balance</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2AF70CD9" w14:textId="77777777" w:rsidR="00CD5946" w:rsidRDefault="00000000">
            <w:pPr>
              <w:spacing w:after="0"/>
            </w:pPr>
            <w:r>
              <w:rPr>
                <w:rFonts w:ascii="Arial" w:eastAsia="Arial" w:hAnsi="Arial"/>
                <w:color w:val="1A1A1A"/>
                <w:sz w:val="18"/>
                <w:szCs w:val="18"/>
              </w:rPr>
              <w:t>USP &lt;41&gt; minimum weight &amp; ≤ 0.10% accuracy</w:t>
            </w:r>
          </w:p>
        </w:tc>
      </w:tr>
      <w:tr w:rsidR="00CD5946" w14:paraId="293DED84"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4A394C5B" w14:textId="77777777" w:rsidR="00CD5946" w:rsidRDefault="00000000">
            <w:pPr>
              <w:spacing w:after="0"/>
            </w:pPr>
            <w:r>
              <w:rPr>
                <w:rFonts w:ascii="Arial" w:eastAsia="Arial" w:hAnsi="Arial"/>
                <w:color w:val="1A1A1A"/>
                <w:sz w:val="18"/>
                <w:szCs w:val="18"/>
              </w:rPr>
              <w:t>Data integrity (chromatography)</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133311C8" w14:textId="77777777" w:rsidR="00CD5946" w:rsidRDefault="00000000">
            <w:pPr>
              <w:spacing w:after="0"/>
            </w:pPr>
            <w:r>
              <w:rPr>
                <w:rFonts w:ascii="Arial" w:eastAsia="Arial" w:hAnsi="Arial"/>
                <w:color w:val="1A1A1A"/>
                <w:sz w:val="18"/>
                <w:szCs w:val="18"/>
              </w:rPr>
              <w:t>Audit trail on; no unexplained re-integration or deleted injections</w:t>
            </w:r>
          </w:p>
        </w:tc>
      </w:tr>
    </w:tbl>
    <w:p w14:paraId="47CD9BD9" w14:textId="77777777" w:rsidR="00CD5946" w:rsidRDefault="00CD5946">
      <w:pPr>
        <w:spacing w:after="60"/>
      </w:pPr>
    </w:p>
    <w:p w14:paraId="35E0A4D5" w14:textId="77777777" w:rsidR="00CD5946" w:rsidRDefault="00000000">
      <w:pPr>
        <w:pStyle w:val="Heading3"/>
        <w:keepNext/>
      </w:pPr>
      <w:bookmarkStart w:id="280" w:name="__RefHeading___Toc9697_1729075678"/>
      <w:bookmarkEnd w:id="280"/>
      <w:r>
        <w:t>Quality Control — Microbiology Laboratory</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1AD60809"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0620406C"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1E5415D3" w14:textId="77777777" w:rsidR="00CD5946" w:rsidRDefault="00000000">
            <w:pPr>
              <w:spacing w:after="0"/>
            </w:pPr>
            <w:r>
              <w:rPr>
                <w:rFonts w:ascii="Arial" w:eastAsia="Arial" w:hAnsi="Arial"/>
                <w:b/>
                <w:bCs/>
                <w:color w:val="FFFFFF"/>
                <w:sz w:val="18"/>
                <w:szCs w:val="18"/>
              </w:rPr>
              <w:t>Limit / acceptance criterion · source</w:t>
            </w:r>
          </w:p>
        </w:tc>
      </w:tr>
      <w:tr w:rsidR="00CD5946" w14:paraId="0AAB2BD2"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1FFF0695" w14:textId="77777777" w:rsidR="00CD5946" w:rsidRDefault="00000000">
            <w:pPr>
              <w:spacing w:after="0"/>
            </w:pPr>
            <w:r>
              <w:rPr>
                <w:rFonts w:ascii="Arial" w:eastAsia="Arial" w:hAnsi="Arial"/>
                <w:color w:val="1A1A1A"/>
                <w:sz w:val="18"/>
                <w:szCs w:val="18"/>
              </w:rPr>
              <w:t>Growth promotion test (Ph.Eur 2.6.1 / USP &lt;61/71&gt;)</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15AC3648" w14:textId="77777777" w:rsidR="00CD5946" w:rsidRDefault="00000000">
            <w:pPr>
              <w:spacing w:after="0"/>
            </w:pPr>
            <w:r>
              <w:rPr>
                <w:rFonts w:ascii="Arial" w:eastAsia="Arial" w:hAnsi="Arial"/>
                <w:color w:val="1A1A1A"/>
                <w:sz w:val="18"/>
                <w:szCs w:val="18"/>
              </w:rPr>
              <w:t>Recovery within factor of 2 of control; inoculum ≤ 100 CFU</w:t>
            </w:r>
          </w:p>
        </w:tc>
      </w:tr>
      <w:tr w:rsidR="00CD5946" w14:paraId="6005018F"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63BCCB96" w14:textId="77777777" w:rsidR="00CD5946" w:rsidRDefault="00000000">
            <w:pPr>
              <w:spacing w:after="0"/>
            </w:pPr>
            <w:r>
              <w:rPr>
                <w:rFonts w:ascii="Arial" w:eastAsia="Arial" w:hAnsi="Arial"/>
                <w:color w:val="1A1A1A"/>
                <w:sz w:val="18"/>
                <w:szCs w:val="18"/>
              </w:rPr>
              <w:t>Incubation — bacteria / fungi</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5CDB3173" w14:textId="77777777" w:rsidR="00CD5946" w:rsidRDefault="00000000">
            <w:pPr>
              <w:spacing w:after="0"/>
            </w:pPr>
            <w:r>
              <w:rPr>
                <w:rFonts w:ascii="Arial" w:eastAsia="Arial" w:hAnsi="Arial"/>
                <w:color w:val="1A1A1A"/>
                <w:sz w:val="18"/>
                <w:szCs w:val="18"/>
              </w:rPr>
              <w:t>30–35 °C (bacteria) ; 20–25 °C (fungi); durations per method</w:t>
            </w:r>
          </w:p>
        </w:tc>
      </w:tr>
      <w:tr w:rsidR="00CD5946" w14:paraId="09A87C6F"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3B19C3A9" w14:textId="77777777" w:rsidR="00CD5946" w:rsidRDefault="00000000">
            <w:pPr>
              <w:spacing w:after="0"/>
            </w:pPr>
            <w:r>
              <w:rPr>
                <w:rFonts w:ascii="Arial" w:eastAsia="Arial" w:hAnsi="Arial"/>
                <w:color w:val="1A1A1A"/>
                <w:sz w:val="18"/>
                <w:szCs w:val="18"/>
              </w:rPr>
              <w:t>Sterility test incubation</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6673F5C5" w14:textId="77777777" w:rsidR="00CD5946" w:rsidRDefault="00000000">
            <w:pPr>
              <w:spacing w:after="0"/>
            </w:pPr>
            <w:r>
              <w:rPr>
                <w:rFonts w:ascii="Arial" w:eastAsia="Arial" w:hAnsi="Arial"/>
                <w:color w:val="1A1A1A"/>
                <w:sz w:val="18"/>
                <w:szCs w:val="18"/>
              </w:rPr>
              <w:t>14 days (USP &lt;71&gt; / Ph.Eur 2.6.1)</w:t>
            </w:r>
          </w:p>
        </w:tc>
      </w:tr>
      <w:tr w:rsidR="00CD5946" w14:paraId="38FD8977"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1FBA5716" w14:textId="77777777" w:rsidR="00CD5946" w:rsidRDefault="00000000">
            <w:pPr>
              <w:spacing w:after="0"/>
            </w:pPr>
            <w:r>
              <w:rPr>
                <w:rFonts w:ascii="Arial" w:eastAsia="Arial" w:hAnsi="Arial"/>
                <w:color w:val="1A1A1A"/>
                <w:sz w:val="18"/>
                <w:szCs w:val="18"/>
              </w:rPr>
              <w:t>Bacterial endotoxins test (USP &lt;85&gt;)</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4AABB9A3" w14:textId="77777777" w:rsidR="00CD5946" w:rsidRDefault="00000000">
            <w:pPr>
              <w:spacing w:after="0"/>
            </w:pPr>
            <w:r>
              <w:rPr>
                <w:rFonts w:ascii="Arial" w:eastAsia="Arial" w:hAnsi="Arial"/>
                <w:color w:val="1A1A1A"/>
                <w:sz w:val="18"/>
                <w:szCs w:val="18"/>
              </w:rPr>
              <w:t>Product limit = K/M (e.g. parenteral threshold 5 EU/kg/h; intrathecal 0.2 EU/kg)</w:t>
            </w:r>
          </w:p>
        </w:tc>
      </w:tr>
      <w:tr w:rsidR="00CD5946" w14:paraId="31F1AC2C"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718F7F9B" w14:textId="77777777" w:rsidR="00CD5946" w:rsidRDefault="00000000">
            <w:pPr>
              <w:spacing w:after="0"/>
            </w:pPr>
            <w:r>
              <w:rPr>
                <w:rFonts w:ascii="Arial" w:eastAsia="Arial" w:hAnsi="Arial"/>
                <w:color w:val="1A1A1A"/>
                <w:sz w:val="18"/>
                <w:szCs w:val="18"/>
              </w:rPr>
              <w:t>Method suitability / controls</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291F544C" w14:textId="77777777" w:rsidR="00CD5946" w:rsidRDefault="00000000">
            <w:pPr>
              <w:spacing w:after="0"/>
            </w:pPr>
            <w:r>
              <w:rPr>
                <w:rFonts w:ascii="Arial" w:eastAsia="Arial" w:hAnsi="Arial"/>
                <w:color w:val="1A1A1A"/>
                <w:sz w:val="18"/>
                <w:szCs w:val="18"/>
              </w:rPr>
              <w:t>Negative &amp; positive controls each run; suitability before use</w:t>
            </w:r>
          </w:p>
        </w:tc>
      </w:tr>
      <w:tr w:rsidR="00CD5946" w14:paraId="5C27E142"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1F66CF2E" w14:textId="77777777" w:rsidR="00CD5946" w:rsidRDefault="00000000">
            <w:pPr>
              <w:spacing w:after="0"/>
            </w:pPr>
            <w:r>
              <w:rPr>
                <w:rFonts w:ascii="Arial" w:eastAsia="Arial" w:hAnsi="Arial"/>
                <w:color w:val="1A1A1A"/>
                <w:sz w:val="18"/>
                <w:szCs w:val="18"/>
              </w:rPr>
              <w:t>Water &amp; EM micro limits</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4626DE38" w14:textId="77777777" w:rsidR="00CD5946" w:rsidRDefault="00000000">
            <w:pPr>
              <w:spacing w:after="0"/>
            </w:pPr>
            <w:r>
              <w:rPr>
                <w:rFonts w:ascii="Arial" w:eastAsia="Arial" w:hAnsi="Arial"/>
                <w:color w:val="1A1A1A"/>
                <w:sz w:val="18"/>
                <w:szCs w:val="18"/>
              </w:rPr>
              <w:t>Per Dept 5 (water) and Dept 4 (EM) tables</w:t>
            </w:r>
          </w:p>
        </w:tc>
      </w:tr>
    </w:tbl>
    <w:p w14:paraId="00F995CB" w14:textId="77777777" w:rsidR="00CD5946" w:rsidRDefault="00CD5946">
      <w:pPr>
        <w:spacing w:after="60"/>
      </w:pPr>
    </w:p>
    <w:p w14:paraId="01F4470B" w14:textId="77777777" w:rsidR="00CD5946" w:rsidRDefault="00000000">
      <w:pPr>
        <w:pStyle w:val="Heading3"/>
        <w:keepNext/>
      </w:pPr>
      <w:bookmarkStart w:id="281" w:name="__RefHeading___Toc9699_1729075678"/>
      <w:bookmarkEnd w:id="281"/>
      <w:r>
        <w:t>Stability Programme</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7AF3AC4F"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1356309D"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6C93BE2D" w14:textId="77777777" w:rsidR="00CD5946" w:rsidRDefault="00000000">
            <w:pPr>
              <w:spacing w:after="0"/>
            </w:pPr>
            <w:r>
              <w:rPr>
                <w:rFonts w:ascii="Arial" w:eastAsia="Arial" w:hAnsi="Arial"/>
                <w:b/>
                <w:bCs/>
                <w:color w:val="FFFFFF"/>
                <w:sz w:val="18"/>
                <w:szCs w:val="18"/>
              </w:rPr>
              <w:t>Limit / acceptance criterion · source</w:t>
            </w:r>
          </w:p>
        </w:tc>
      </w:tr>
      <w:tr w:rsidR="00CD5946" w14:paraId="16EBF5A7"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712640C4" w14:textId="77777777" w:rsidR="00CD5946" w:rsidRDefault="00000000">
            <w:pPr>
              <w:spacing w:after="0"/>
            </w:pPr>
            <w:r>
              <w:rPr>
                <w:rFonts w:ascii="Arial" w:eastAsia="Arial" w:hAnsi="Arial"/>
                <w:color w:val="1A1A1A"/>
                <w:sz w:val="18"/>
                <w:szCs w:val="18"/>
              </w:rPr>
              <w:t>Long-term — GCC &amp; most Arab markets (Zone III / IVa)</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638F98F6" w14:textId="77777777" w:rsidR="00CD5946" w:rsidRDefault="00000000">
            <w:pPr>
              <w:spacing w:after="0"/>
            </w:pPr>
            <w:r>
              <w:rPr>
                <w:rFonts w:ascii="Arial" w:eastAsia="Arial" w:hAnsi="Arial"/>
                <w:color w:val="1A1A1A"/>
                <w:sz w:val="18"/>
                <w:szCs w:val="18"/>
              </w:rPr>
              <w:t>30 °C ± 2 °C / 65% ± 5% RH (GCC stability guideline — Zone IVa; Zone III 30 °C/35% RH where assigned). 30 °C/75% RH (Zone IVb) applies only where an adopting authority expressly designates it (WHO)</w:t>
            </w:r>
          </w:p>
        </w:tc>
      </w:tr>
      <w:tr w:rsidR="00CD5946" w14:paraId="5BFC4126"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753BCACD" w14:textId="77777777" w:rsidR="00CD5946" w:rsidRDefault="00000000">
            <w:pPr>
              <w:spacing w:after="0"/>
            </w:pPr>
            <w:r>
              <w:rPr>
                <w:rFonts w:ascii="Arial" w:eastAsia="Arial" w:hAnsi="Arial"/>
                <w:color w:val="1A1A1A"/>
                <w:sz w:val="18"/>
                <w:szCs w:val="18"/>
              </w:rPr>
              <w:t>Accelerated</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11E01116" w14:textId="77777777" w:rsidR="00CD5946" w:rsidRDefault="00000000">
            <w:pPr>
              <w:spacing w:after="0"/>
            </w:pPr>
            <w:r>
              <w:rPr>
                <w:rFonts w:ascii="Arial" w:eastAsia="Arial" w:hAnsi="Arial"/>
                <w:color w:val="1A1A1A"/>
                <w:sz w:val="18"/>
                <w:szCs w:val="18"/>
              </w:rPr>
              <w:t>40 °C ± 2 °C / 75% ± 5% RH for 6 months</w:t>
            </w:r>
          </w:p>
        </w:tc>
      </w:tr>
      <w:tr w:rsidR="00CD5946" w14:paraId="7A0651FB"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775C2592" w14:textId="77777777" w:rsidR="00CD5946" w:rsidRDefault="00000000">
            <w:pPr>
              <w:spacing w:after="0"/>
            </w:pPr>
            <w:r>
              <w:rPr>
                <w:rFonts w:ascii="Arial" w:eastAsia="Arial" w:hAnsi="Arial"/>
                <w:color w:val="1A1A1A"/>
                <w:sz w:val="18"/>
                <w:szCs w:val="18"/>
              </w:rPr>
              <w:t>Refrigerated products</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251A38EB" w14:textId="77777777" w:rsidR="00CD5946" w:rsidRDefault="00000000">
            <w:pPr>
              <w:spacing w:after="0"/>
            </w:pPr>
            <w:r>
              <w:rPr>
                <w:rFonts w:ascii="Arial" w:eastAsia="Arial" w:hAnsi="Arial"/>
                <w:color w:val="1A1A1A"/>
                <w:sz w:val="18"/>
                <w:szCs w:val="18"/>
              </w:rPr>
              <w:t>Long-term 5 °C ± 3 °C; accelerated 25 °C ± 2 / 60% ± 5% RH</w:t>
            </w:r>
          </w:p>
        </w:tc>
      </w:tr>
      <w:tr w:rsidR="00CD5946" w14:paraId="7B985ACB"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5F83F661" w14:textId="77777777" w:rsidR="00CD5946" w:rsidRDefault="00000000">
            <w:pPr>
              <w:spacing w:after="0"/>
            </w:pPr>
            <w:r>
              <w:rPr>
                <w:rFonts w:ascii="Arial" w:eastAsia="Arial" w:hAnsi="Arial"/>
                <w:color w:val="1A1A1A"/>
                <w:sz w:val="18"/>
                <w:szCs w:val="18"/>
              </w:rPr>
              <w:t>Frozen products</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648FCC2A" w14:textId="77777777" w:rsidR="00CD5946" w:rsidRDefault="00000000">
            <w:pPr>
              <w:spacing w:after="0"/>
            </w:pPr>
            <w:r>
              <w:rPr>
                <w:rFonts w:ascii="Arial" w:eastAsia="Arial" w:hAnsi="Arial"/>
                <w:color w:val="1A1A1A"/>
                <w:sz w:val="18"/>
                <w:szCs w:val="18"/>
              </w:rPr>
              <w:t>−20 °C ± 5 °C</w:t>
            </w:r>
          </w:p>
        </w:tc>
      </w:tr>
      <w:tr w:rsidR="00CD5946" w14:paraId="71DF5E81"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1EE02166" w14:textId="77777777" w:rsidR="00CD5946" w:rsidRDefault="00000000">
            <w:pPr>
              <w:spacing w:after="0"/>
            </w:pPr>
            <w:r>
              <w:rPr>
                <w:rFonts w:ascii="Arial" w:eastAsia="Arial" w:hAnsi="Arial"/>
                <w:color w:val="1A1A1A"/>
                <w:sz w:val="18"/>
                <w:szCs w:val="18"/>
              </w:rPr>
              <w:t>Significant change (ICH Q1A)</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176DFF14" w14:textId="77777777" w:rsidR="00CD5946" w:rsidRDefault="00000000">
            <w:pPr>
              <w:spacing w:after="0"/>
            </w:pPr>
            <w:r>
              <w:rPr>
                <w:rFonts w:ascii="Arial" w:eastAsia="Arial" w:hAnsi="Arial"/>
                <w:color w:val="1A1A1A"/>
                <w:sz w:val="18"/>
                <w:szCs w:val="18"/>
              </w:rPr>
              <w:t>≥ 5% assay change from initial; any degradant &gt; limit; dissolution / physical / pH failure</w:t>
            </w:r>
          </w:p>
        </w:tc>
      </w:tr>
      <w:tr w:rsidR="00CD5946" w14:paraId="2003DFE8"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21397C91" w14:textId="77777777" w:rsidR="00CD5946" w:rsidRDefault="00000000">
            <w:pPr>
              <w:spacing w:after="0"/>
            </w:pPr>
            <w:r>
              <w:rPr>
                <w:rFonts w:ascii="Arial" w:eastAsia="Arial" w:hAnsi="Arial"/>
                <w:color w:val="1A1A1A"/>
                <w:sz w:val="18"/>
                <w:szCs w:val="18"/>
              </w:rPr>
              <w:t>Ongoing stability</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356C8A56" w14:textId="77777777" w:rsidR="00CD5946" w:rsidRDefault="00000000">
            <w:pPr>
              <w:spacing w:after="0"/>
            </w:pPr>
            <w:r>
              <w:rPr>
                <w:rFonts w:ascii="Arial" w:eastAsia="Arial" w:hAnsi="Arial"/>
                <w:color w:val="1A1A1A"/>
                <w:sz w:val="18"/>
                <w:szCs w:val="18"/>
              </w:rPr>
              <w:t>≥ 1 batch per product per year (where any manufactured) (EU GMP Ch.6)</w:t>
            </w:r>
          </w:p>
        </w:tc>
      </w:tr>
      <w:tr w:rsidR="00CD5946" w14:paraId="7B1F713D"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4FB198E1" w14:textId="77777777" w:rsidR="00CD5946" w:rsidRDefault="00000000">
            <w:pPr>
              <w:spacing w:after="0"/>
            </w:pPr>
            <w:r>
              <w:rPr>
                <w:rFonts w:ascii="Arial" w:eastAsia="Arial" w:hAnsi="Arial"/>
                <w:color w:val="1A1A1A"/>
                <w:sz w:val="18"/>
                <w:szCs w:val="18"/>
              </w:rPr>
              <w:t>Photostability</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6B42C228" w14:textId="77777777" w:rsidR="00CD5946" w:rsidRDefault="00000000">
            <w:pPr>
              <w:spacing w:after="0"/>
            </w:pPr>
            <w:r>
              <w:rPr>
                <w:rFonts w:ascii="Arial" w:eastAsia="Arial" w:hAnsi="Arial"/>
                <w:color w:val="1A1A1A"/>
                <w:sz w:val="18"/>
                <w:szCs w:val="18"/>
              </w:rPr>
              <w:t>Per ICH Q1B (option 1 / option 2 light exposure)</w:t>
            </w:r>
          </w:p>
        </w:tc>
      </w:tr>
    </w:tbl>
    <w:p w14:paraId="004822FB" w14:textId="77777777" w:rsidR="00CD5946" w:rsidRDefault="00CD5946">
      <w:pPr>
        <w:spacing w:after="60"/>
      </w:pPr>
    </w:p>
    <w:p w14:paraId="6A72A75C" w14:textId="77777777" w:rsidR="00CD5946" w:rsidRDefault="00000000">
      <w:pPr>
        <w:pStyle w:val="Heading3"/>
        <w:keepNext/>
      </w:pPr>
      <w:bookmarkStart w:id="282" w:name="__RefHeading___Toc9701_1729075678"/>
      <w:bookmarkEnd w:id="282"/>
      <w:r>
        <w:t>Process Validation &amp; Lifecycle</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0613B727"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4B8B6CC2"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3ED82BC3" w14:textId="77777777" w:rsidR="00CD5946" w:rsidRDefault="00000000">
            <w:pPr>
              <w:spacing w:after="0"/>
            </w:pPr>
            <w:r>
              <w:rPr>
                <w:rFonts w:ascii="Arial" w:eastAsia="Arial" w:hAnsi="Arial"/>
                <w:b/>
                <w:bCs/>
                <w:color w:val="FFFFFF"/>
                <w:sz w:val="18"/>
                <w:szCs w:val="18"/>
              </w:rPr>
              <w:t>Limit / acceptance criterion · source</w:t>
            </w:r>
          </w:p>
        </w:tc>
      </w:tr>
      <w:tr w:rsidR="00CD5946" w14:paraId="628C82CC"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3D660871" w14:textId="77777777" w:rsidR="00CD5946" w:rsidRDefault="00000000">
            <w:pPr>
              <w:spacing w:after="0"/>
            </w:pPr>
            <w:r>
              <w:rPr>
                <w:rFonts w:ascii="Arial" w:eastAsia="Arial" w:hAnsi="Arial"/>
                <w:color w:val="1A1A1A"/>
                <w:sz w:val="18"/>
                <w:szCs w:val="18"/>
              </w:rPr>
              <w:t>Process performance qualification (PPQ)</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0E5EB683" w14:textId="77777777" w:rsidR="00CD5946" w:rsidRDefault="00000000">
            <w:pPr>
              <w:spacing w:after="0"/>
            </w:pPr>
            <w:r>
              <w:rPr>
                <w:rFonts w:ascii="Arial" w:eastAsia="Arial" w:hAnsi="Arial"/>
                <w:color w:val="1A1A1A"/>
                <w:sz w:val="18"/>
                <w:szCs w:val="18"/>
              </w:rPr>
              <w:t>Number of batches justified by risk (commonly ≥ 3 consecutive) (Annex 15 / FDA PV)</w:t>
            </w:r>
          </w:p>
        </w:tc>
      </w:tr>
      <w:tr w:rsidR="00CD5946" w14:paraId="546D8D83"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4382C9B0" w14:textId="77777777" w:rsidR="00CD5946" w:rsidRDefault="00000000">
            <w:pPr>
              <w:spacing w:after="0"/>
            </w:pPr>
            <w:r>
              <w:rPr>
                <w:rFonts w:ascii="Arial" w:eastAsia="Arial" w:hAnsi="Arial"/>
                <w:color w:val="1A1A1A"/>
                <w:sz w:val="18"/>
                <w:szCs w:val="18"/>
              </w:rPr>
              <w:t>Continued process verification (Stage 3)</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0B804F44" w14:textId="77777777" w:rsidR="00CD5946" w:rsidRDefault="00000000">
            <w:pPr>
              <w:spacing w:after="0"/>
            </w:pPr>
            <w:r>
              <w:rPr>
                <w:rFonts w:ascii="Arial" w:eastAsia="Arial" w:hAnsi="Arial"/>
                <w:color w:val="1A1A1A"/>
                <w:sz w:val="18"/>
                <w:szCs w:val="18"/>
              </w:rPr>
              <w:t>Ongoing monitoring of CQAs/CPPs across the lifecycle (ICH Q8–Q12)</w:t>
            </w:r>
          </w:p>
        </w:tc>
      </w:tr>
      <w:tr w:rsidR="00CD5946" w14:paraId="33E2B558"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09DAC212" w14:textId="77777777" w:rsidR="00CD5946" w:rsidRDefault="00000000">
            <w:pPr>
              <w:spacing w:after="0"/>
            </w:pPr>
            <w:r>
              <w:rPr>
                <w:rFonts w:ascii="Arial" w:eastAsia="Arial" w:hAnsi="Arial"/>
                <w:color w:val="1A1A1A"/>
                <w:sz w:val="18"/>
                <w:szCs w:val="18"/>
              </w:rPr>
              <w:lastRenderedPageBreak/>
              <w:t>Critical process parameters (CPP)</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2853DA19" w14:textId="77777777" w:rsidR="00CD5946" w:rsidRDefault="00000000">
            <w:pPr>
              <w:spacing w:after="0"/>
            </w:pPr>
            <w:r>
              <w:rPr>
                <w:rFonts w:ascii="Arial" w:eastAsia="Arial" w:hAnsi="Arial"/>
                <w:color w:val="1A1A1A"/>
                <w:sz w:val="18"/>
                <w:szCs w:val="18"/>
              </w:rPr>
              <w:t>Controlled within validated ranges / design space</w:t>
            </w:r>
          </w:p>
        </w:tc>
      </w:tr>
      <w:tr w:rsidR="00CD5946" w14:paraId="22CD57D1"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1B53B6A8" w14:textId="77777777" w:rsidR="00CD5946" w:rsidRDefault="00000000">
            <w:pPr>
              <w:spacing w:after="0"/>
            </w:pPr>
            <w:r>
              <w:rPr>
                <w:rFonts w:ascii="Arial" w:eastAsia="Arial" w:hAnsi="Arial"/>
                <w:color w:val="1A1A1A"/>
                <w:sz w:val="18"/>
                <w:szCs w:val="18"/>
              </w:rPr>
              <w:t>Acceptance criteria</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7592FBA8" w14:textId="77777777" w:rsidR="00CD5946" w:rsidRDefault="00000000">
            <w:pPr>
              <w:spacing w:after="0"/>
            </w:pPr>
            <w:r>
              <w:rPr>
                <w:rFonts w:ascii="Arial" w:eastAsia="Arial" w:hAnsi="Arial"/>
                <w:color w:val="1A1A1A"/>
                <w:sz w:val="18"/>
                <w:szCs w:val="18"/>
              </w:rPr>
              <w:t>Pre-defined for each CQA before PPQ (no post-hoc setting)</w:t>
            </w:r>
          </w:p>
        </w:tc>
      </w:tr>
      <w:tr w:rsidR="00CD5946" w14:paraId="071C6CD0"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3AAEA319" w14:textId="77777777" w:rsidR="00CD5946" w:rsidRDefault="00000000">
            <w:pPr>
              <w:spacing w:after="0"/>
            </w:pPr>
            <w:r>
              <w:rPr>
                <w:rFonts w:ascii="Arial" w:eastAsia="Arial" w:hAnsi="Arial"/>
                <w:color w:val="1A1A1A"/>
                <w:sz w:val="18"/>
                <w:szCs w:val="18"/>
              </w:rPr>
              <w:t>Revalidation trigger</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58B3DC6F" w14:textId="77777777" w:rsidR="00CD5946" w:rsidRDefault="00000000">
            <w:pPr>
              <w:spacing w:after="0"/>
            </w:pPr>
            <w:r>
              <w:rPr>
                <w:rFonts w:ascii="Arial" w:eastAsia="Arial" w:hAnsi="Arial"/>
                <w:color w:val="1A1A1A"/>
                <w:sz w:val="18"/>
                <w:szCs w:val="18"/>
              </w:rPr>
              <w:t>On significant change or adverse trend (Annex 15)</w:t>
            </w:r>
          </w:p>
        </w:tc>
      </w:tr>
    </w:tbl>
    <w:p w14:paraId="68871CE9" w14:textId="77777777" w:rsidR="00CD5946" w:rsidRDefault="00CD5946">
      <w:pPr>
        <w:spacing w:after="60"/>
      </w:pPr>
    </w:p>
    <w:p w14:paraId="226CFD13" w14:textId="77777777" w:rsidR="00CD5946" w:rsidRDefault="00000000">
      <w:pPr>
        <w:pStyle w:val="Heading3"/>
        <w:keepNext/>
      </w:pPr>
      <w:bookmarkStart w:id="283" w:name="__RefHeading___Toc9703_1729075678"/>
      <w:bookmarkEnd w:id="283"/>
      <w:r>
        <w:t>Cleaning Validation</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4E777016"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4A3580FE"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01A267DE" w14:textId="77777777" w:rsidR="00CD5946" w:rsidRDefault="00000000">
            <w:pPr>
              <w:spacing w:after="0"/>
            </w:pPr>
            <w:r>
              <w:rPr>
                <w:rFonts w:ascii="Arial" w:eastAsia="Arial" w:hAnsi="Arial"/>
                <w:b/>
                <w:bCs/>
                <w:color w:val="FFFFFF"/>
                <w:sz w:val="18"/>
                <w:szCs w:val="18"/>
              </w:rPr>
              <w:t>Limit / acceptance criterion · source</w:t>
            </w:r>
          </w:p>
        </w:tc>
      </w:tr>
      <w:tr w:rsidR="00CD5946" w14:paraId="139D2A85"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5713DDEC" w14:textId="77777777" w:rsidR="00CD5946" w:rsidRDefault="00000000">
            <w:pPr>
              <w:spacing w:after="0"/>
            </w:pPr>
            <w:r>
              <w:rPr>
                <w:rFonts w:ascii="Arial" w:eastAsia="Arial" w:hAnsi="Arial"/>
                <w:color w:val="1A1A1A"/>
                <w:sz w:val="18"/>
                <w:szCs w:val="18"/>
              </w:rPr>
              <w:t>Acceptance limit basis</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30359B8D" w14:textId="77777777" w:rsidR="00CD5946" w:rsidRDefault="00000000">
            <w:pPr>
              <w:spacing w:after="0"/>
            </w:pPr>
            <w:r>
              <w:rPr>
                <w:rFonts w:ascii="Arial" w:eastAsia="Arial" w:hAnsi="Arial"/>
                <w:color w:val="1A1A1A"/>
                <w:sz w:val="18"/>
                <w:szCs w:val="18"/>
              </w:rPr>
              <w:t>Health-Based Exposure Limit (HBEL/PDE) → MACO (EMA HBEL; Annex 15)</w:t>
            </w:r>
          </w:p>
        </w:tc>
      </w:tr>
      <w:tr w:rsidR="00CD5946" w14:paraId="78CC488B"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0F74EFEF" w14:textId="77777777" w:rsidR="00CD5946" w:rsidRDefault="00000000">
            <w:pPr>
              <w:spacing w:after="0"/>
            </w:pPr>
            <w:r>
              <w:rPr>
                <w:rFonts w:ascii="Arial" w:eastAsia="Arial" w:hAnsi="Arial"/>
                <w:color w:val="1A1A1A"/>
                <w:sz w:val="18"/>
                <w:szCs w:val="18"/>
              </w:rPr>
              <w:t>Legacy limits (supportive only)</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14255F78" w14:textId="77777777" w:rsidR="00CD5946" w:rsidRDefault="00000000">
            <w:pPr>
              <w:spacing w:after="0"/>
            </w:pPr>
            <w:r>
              <w:rPr>
                <w:rFonts w:ascii="Arial" w:eastAsia="Arial" w:hAnsi="Arial"/>
                <w:color w:val="1A1A1A"/>
                <w:sz w:val="18"/>
                <w:szCs w:val="18"/>
              </w:rPr>
              <w:t>10 ppm of next product, or 1/1000 of min therapeutic dose</w:t>
            </w:r>
          </w:p>
        </w:tc>
      </w:tr>
      <w:tr w:rsidR="00CD5946" w14:paraId="33920286"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5008076A" w14:textId="77777777" w:rsidR="00CD5946" w:rsidRDefault="00000000">
            <w:pPr>
              <w:spacing w:after="0"/>
            </w:pPr>
            <w:r>
              <w:rPr>
                <w:rFonts w:ascii="Arial" w:eastAsia="Arial" w:hAnsi="Arial"/>
                <w:color w:val="1A1A1A"/>
                <w:sz w:val="18"/>
                <w:szCs w:val="18"/>
              </w:rPr>
              <w:t>Visually clean</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5F113E5B" w14:textId="77777777" w:rsidR="00CD5946" w:rsidRDefault="00000000">
            <w:pPr>
              <w:spacing w:after="0"/>
            </w:pPr>
            <w:r>
              <w:rPr>
                <w:rFonts w:ascii="Arial" w:eastAsia="Arial" w:hAnsi="Arial"/>
                <w:color w:val="1A1A1A"/>
                <w:sz w:val="18"/>
                <w:szCs w:val="18"/>
              </w:rPr>
              <w:t>No visible residue (threshold ≈ 1–4 µg/cm²) — necessary, not sufficient alone</w:t>
            </w:r>
          </w:p>
        </w:tc>
      </w:tr>
      <w:tr w:rsidR="00CD5946" w14:paraId="055F6915"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0377A3E1" w14:textId="77777777" w:rsidR="00CD5946" w:rsidRDefault="00000000">
            <w:pPr>
              <w:spacing w:after="0"/>
            </w:pPr>
            <w:r>
              <w:rPr>
                <w:rFonts w:ascii="Arial" w:eastAsia="Arial" w:hAnsi="Arial"/>
                <w:color w:val="1A1A1A"/>
                <w:sz w:val="18"/>
                <w:szCs w:val="18"/>
              </w:rPr>
              <w:t>Swab recovery</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1FD69002" w14:textId="77777777" w:rsidR="00CD5946" w:rsidRDefault="00000000">
            <w:pPr>
              <w:spacing w:after="0"/>
            </w:pPr>
            <w:r>
              <w:rPr>
                <w:rFonts w:ascii="Arial" w:eastAsia="Arial" w:hAnsi="Arial"/>
                <w:color w:val="1A1A1A"/>
                <w:sz w:val="18"/>
                <w:szCs w:val="18"/>
              </w:rPr>
              <w:t>≥ 70% acceptable; &lt; 50% not acceptable without justification; apply factor to results</w:t>
            </w:r>
          </w:p>
        </w:tc>
      </w:tr>
      <w:tr w:rsidR="00CD5946" w14:paraId="39866FEF"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384F01A1" w14:textId="77777777" w:rsidR="00CD5946" w:rsidRDefault="00000000">
            <w:pPr>
              <w:spacing w:after="0"/>
            </w:pPr>
            <w:r>
              <w:rPr>
                <w:rFonts w:ascii="Arial" w:eastAsia="Arial" w:hAnsi="Arial"/>
                <w:color w:val="1A1A1A"/>
                <w:sz w:val="18"/>
                <w:szCs w:val="18"/>
              </w:rPr>
              <w:t>Microbial / endotoxin (shared equipment)</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49FE3D67" w14:textId="77777777" w:rsidR="00CD5946" w:rsidRDefault="00000000">
            <w:pPr>
              <w:spacing w:after="0"/>
            </w:pPr>
            <w:r>
              <w:rPr>
                <w:rFonts w:ascii="Arial" w:eastAsia="Arial" w:hAnsi="Arial"/>
                <w:color w:val="1A1A1A"/>
                <w:sz w:val="18"/>
                <w:szCs w:val="18"/>
              </w:rPr>
              <w:t>Defined post-clean limits; bioburden &amp; endotoxin where relevant</w:t>
            </w:r>
          </w:p>
        </w:tc>
      </w:tr>
      <w:tr w:rsidR="00CD5946" w14:paraId="5D3950C0"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758103A8" w14:textId="77777777" w:rsidR="00CD5946" w:rsidRDefault="00000000">
            <w:pPr>
              <w:spacing w:after="0"/>
            </w:pPr>
            <w:r>
              <w:rPr>
                <w:rFonts w:ascii="Arial" w:eastAsia="Arial" w:hAnsi="Arial"/>
                <w:color w:val="1A1A1A"/>
                <w:sz w:val="18"/>
                <w:szCs w:val="18"/>
              </w:rPr>
              <w:t>Dirty- &amp; clean-hold times</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71762A15" w14:textId="77777777" w:rsidR="00CD5946" w:rsidRDefault="00000000">
            <w:pPr>
              <w:spacing w:after="0"/>
            </w:pPr>
            <w:r>
              <w:rPr>
                <w:rFonts w:ascii="Arial" w:eastAsia="Arial" w:hAnsi="Arial"/>
                <w:color w:val="1A1A1A"/>
                <w:sz w:val="18"/>
                <w:szCs w:val="18"/>
              </w:rPr>
              <w:t>Validated maxima; not exceeded in routine use</w:t>
            </w:r>
          </w:p>
        </w:tc>
      </w:tr>
    </w:tbl>
    <w:p w14:paraId="7ADBCFF4" w14:textId="77777777" w:rsidR="00CD5946" w:rsidRDefault="00CD5946">
      <w:pPr>
        <w:spacing w:after="60"/>
      </w:pPr>
    </w:p>
    <w:p w14:paraId="5DC5CDA8" w14:textId="77777777" w:rsidR="00CD5946" w:rsidRDefault="00000000">
      <w:pPr>
        <w:pStyle w:val="Heading3"/>
        <w:keepNext/>
      </w:pPr>
      <w:bookmarkStart w:id="284" w:name="__RefHeading___Toc9705_1729075678"/>
      <w:bookmarkEnd w:id="284"/>
      <w:r>
        <w:t>Deviation, OOS/OOT &amp; CAPA Management</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43ACAD2A"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086F965A"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3BE7B8E3" w14:textId="77777777" w:rsidR="00CD5946" w:rsidRDefault="00000000">
            <w:pPr>
              <w:spacing w:after="0"/>
            </w:pPr>
            <w:r>
              <w:rPr>
                <w:rFonts w:ascii="Arial" w:eastAsia="Arial" w:hAnsi="Arial"/>
                <w:b/>
                <w:bCs/>
                <w:color w:val="FFFFFF"/>
                <w:sz w:val="18"/>
                <w:szCs w:val="18"/>
              </w:rPr>
              <w:t>Limit / acceptance criterion · source</w:t>
            </w:r>
          </w:p>
        </w:tc>
      </w:tr>
      <w:tr w:rsidR="00CD5946" w14:paraId="6EE58262"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527BEFC9" w14:textId="77777777" w:rsidR="00CD5946" w:rsidRDefault="00000000">
            <w:pPr>
              <w:spacing w:after="0"/>
            </w:pPr>
            <w:r>
              <w:rPr>
                <w:rFonts w:ascii="Arial" w:eastAsia="Arial" w:hAnsi="Arial"/>
                <w:color w:val="1A1A1A"/>
                <w:sz w:val="18"/>
                <w:szCs w:val="18"/>
              </w:rPr>
              <w:t>Investigation closure</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77AACF74" w14:textId="77777777" w:rsidR="00CD5946" w:rsidRDefault="00000000">
            <w:pPr>
              <w:spacing w:after="0"/>
            </w:pPr>
            <w:r>
              <w:rPr>
                <w:rFonts w:ascii="Arial" w:eastAsia="Arial" w:hAnsi="Arial"/>
                <w:color w:val="1A1A1A"/>
                <w:sz w:val="18"/>
                <w:szCs w:val="18"/>
              </w:rPr>
              <w:t>Per SOP target (commonly ≤ 30 days; extensions justified &amp; approved)</w:t>
            </w:r>
          </w:p>
        </w:tc>
      </w:tr>
      <w:tr w:rsidR="00CD5946" w14:paraId="2F0256BF"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75C7E382" w14:textId="77777777" w:rsidR="00CD5946" w:rsidRDefault="00000000">
            <w:pPr>
              <w:spacing w:after="0"/>
            </w:pPr>
            <w:r>
              <w:rPr>
                <w:rFonts w:ascii="Arial" w:eastAsia="Arial" w:hAnsi="Arial"/>
                <w:color w:val="1A1A1A"/>
                <w:sz w:val="18"/>
                <w:szCs w:val="18"/>
              </w:rPr>
              <w:t>Root cause analysis</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106FE073" w14:textId="77777777" w:rsidR="00CD5946" w:rsidRDefault="00000000">
            <w:pPr>
              <w:spacing w:after="0"/>
            </w:pPr>
            <w:r>
              <w:rPr>
                <w:rFonts w:ascii="Arial" w:eastAsia="Arial" w:hAnsi="Arial"/>
                <w:color w:val="1A1A1A"/>
                <w:sz w:val="18"/>
                <w:szCs w:val="18"/>
              </w:rPr>
              <w:t>Documented, reaching the true systemic cause (not 'operator error' default) (ICH Q10)</w:t>
            </w:r>
          </w:p>
        </w:tc>
      </w:tr>
      <w:tr w:rsidR="00CD5946" w14:paraId="3785E426"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07C6B55B" w14:textId="77777777" w:rsidR="00CD5946" w:rsidRDefault="00000000">
            <w:pPr>
              <w:spacing w:after="0"/>
            </w:pPr>
            <w:r>
              <w:rPr>
                <w:rFonts w:ascii="Arial" w:eastAsia="Arial" w:hAnsi="Arial"/>
                <w:color w:val="1A1A1A"/>
                <w:sz w:val="18"/>
                <w:szCs w:val="18"/>
              </w:rPr>
              <w:t>CAPA effectiveness check</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6D2820F9" w14:textId="77777777" w:rsidR="00CD5946" w:rsidRDefault="00000000">
            <w:pPr>
              <w:spacing w:after="0"/>
            </w:pPr>
            <w:r>
              <w:rPr>
                <w:rFonts w:ascii="Arial" w:eastAsia="Arial" w:hAnsi="Arial"/>
                <w:color w:val="1A1A1A"/>
                <w:sz w:val="18"/>
                <w:szCs w:val="18"/>
              </w:rPr>
              <w:t>Defined criterion + date + result; verifies recurrence prevented</w:t>
            </w:r>
          </w:p>
        </w:tc>
      </w:tr>
      <w:tr w:rsidR="00CD5946" w14:paraId="3051A50A"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268E4AAA" w14:textId="77777777" w:rsidR="00CD5946" w:rsidRDefault="00000000">
            <w:pPr>
              <w:spacing w:after="0"/>
            </w:pPr>
            <w:r>
              <w:rPr>
                <w:rFonts w:ascii="Arial" w:eastAsia="Arial" w:hAnsi="Arial"/>
                <w:color w:val="1A1A1A"/>
                <w:sz w:val="18"/>
                <w:szCs w:val="18"/>
              </w:rPr>
              <w:t>OOS handling (FDA OOS guidance)</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3BD332D3" w14:textId="77777777" w:rsidR="00CD5946" w:rsidRDefault="00000000">
            <w:pPr>
              <w:spacing w:after="0"/>
            </w:pPr>
            <w:r>
              <w:rPr>
                <w:rFonts w:ascii="Arial" w:eastAsia="Arial" w:hAnsi="Arial"/>
                <w:color w:val="1A1A1A"/>
                <w:sz w:val="18"/>
                <w:szCs w:val="18"/>
              </w:rPr>
              <w:t>Phase I (lab) then Phase II; original result not discarded without assignable cause</w:t>
            </w:r>
          </w:p>
        </w:tc>
      </w:tr>
      <w:tr w:rsidR="00CD5946" w14:paraId="54B47EF4"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4735490C" w14:textId="77777777" w:rsidR="00CD5946" w:rsidRDefault="00000000">
            <w:pPr>
              <w:spacing w:after="0"/>
            </w:pPr>
            <w:r>
              <w:rPr>
                <w:rFonts w:ascii="Arial" w:eastAsia="Arial" w:hAnsi="Arial"/>
                <w:color w:val="1A1A1A"/>
                <w:sz w:val="18"/>
                <w:szCs w:val="18"/>
              </w:rPr>
              <w:t>Risk classification</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62403816" w14:textId="77777777" w:rsidR="00CD5946" w:rsidRDefault="00000000">
            <w:pPr>
              <w:spacing w:after="0"/>
            </w:pPr>
            <w:r>
              <w:rPr>
                <w:rFonts w:ascii="Arial" w:eastAsia="Arial" w:hAnsi="Arial"/>
                <w:color w:val="1A1A1A"/>
                <w:sz w:val="18"/>
                <w:szCs w:val="18"/>
              </w:rPr>
              <w:t>Critical / Major / Minor by patient impact (ICH Q9)</w:t>
            </w:r>
          </w:p>
        </w:tc>
      </w:tr>
    </w:tbl>
    <w:p w14:paraId="2B77441D" w14:textId="77777777" w:rsidR="00CD5946" w:rsidRDefault="00CD5946">
      <w:pPr>
        <w:spacing w:after="60"/>
      </w:pPr>
    </w:p>
    <w:p w14:paraId="197CCE7A" w14:textId="77777777" w:rsidR="00CD5946" w:rsidRDefault="00000000">
      <w:pPr>
        <w:pStyle w:val="Heading3"/>
        <w:keepNext/>
      </w:pPr>
      <w:bookmarkStart w:id="285" w:name="__RefHeading___Toc9707_1729075678"/>
      <w:bookmarkEnd w:id="285"/>
      <w:r>
        <w:t>Complaints, Returns, Recalls &amp; Falsified Medicines</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2EA0CACB"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6409CBCD"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66DC5B20" w14:textId="77777777" w:rsidR="00CD5946" w:rsidRDefault="00000000">
            <w:pPr>
              <w:spacing w:after="0"/>
            </w:pPr>
            <w:r>
              <w:rPr>
                <w:rFonts w:ascii="Arial" w:eastAsia="Arial" w:hAnsi="Arial"/>
                <w:b/>
                <w:bCs/>
                <w:color w:val="FFFFFF"/>
                <w:sz w:val="18"/>
                <w:szCs w:val="18"/>
              </w:rPr>
              <w:t>Limit / acceptance criterion · source</w:t>
            </w:r>
          </w:p>
        </w:tc>
      </w:tr>
      <w:tr w:rsidR="00CD5946" w14:paraId="75381659"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6990A45C" w14:textId="77777777" w:rsidR="00CD5946" w:rsidRDefault="00000000">
            <w:pPr>
              <w:spacing w:after="0"/>
            </w:pPr>
            <w:r>
              <w:rPr>
                <w:rFonts w:ascii="Arial" w:eastAsia="Arial" w:hAnsi="Arial"/>
                <w:color w:val="1A1A1A"/>
                <w:sz w:val="18"/>
                <w:szCs w:val="18"/>
              </w:rPr>
              <w:t>Recall / serious defect notification</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6CFE5CB9" w14:textId="77777777" w:rsidR="00CD5946" w:rsidRDefault="00000000">
            <w:pPr>
              <w:spacing w:after="0"/>
            </w:pPr>
            <w:r>
              <w:rPr>
                <w:rFonts w:ascii="Arial" w:eastAsia="Arial" w:hAnsi="Arial"/>
                <w:color w:val="1A1A1A"/>
                <w:sz w:val="18"/>
                <w:szCs w:val="18"/>
              </w:rPr>
              <w:t>Notify the competent authority promptly; Class I (life-threatening) urgent (e.g. within 24 h) (EU GMP Ch.8)</w:t>
            </w:r>
          </w:p>
        </w:tc>
      </w:tr>
      <w:tr w:rsidR="00CD5946" w14:paraId="04AFB98D"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03BE38F7" w14:textId="77777777" w:rsidR="00CD5946" w:rsidRDefault="00000000">
            <w:pPr>
              <w:spacing w:after="0"/>
            </w:pPr>
            <w:r>
              <w:rPr>
                <w:rFonts w:ascii="Arial" w:eastAsia="Arial" w:hAnsi="Arial"/>
                <w:color w:val="1A1A1A"/>
                <w:sz w:val="18"/>
                <w:szCs w:val="18"/>
              </w:rPr>
              <w:t>Recall capability (mock recall)</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339C0D1C" w14:textId="77777777" w:rsidR="00CD5946" w:rsidRDefault="00000000">
            <w:pPr>
              <w:spacing w:after="0"/>
            </w:pPr>
            <w:r>
              <w:rPr>
                <w:rFonts w:ascii="Arial" w:eastAsia="Arial" w:hAnsi="Arial"/>
                <w:color w:val="1A1A1A"/>
                <w:sz w:val="18"/>
                <w:szCs w:val="18"/>
              </w:rPr>
              <w:t>Periodic test; reconcile distributed vs retrieved quantities</w:t>
            </w:r>
          </w:p>
        </w:tc>
      </w:tr>
      <w:tr w:rsidR="00CD5946" w14:paraId="4C637DA3"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646E098C" w14:textId="77777777" w:rsidR="00CD5946" w:rsidRDefault="00000000">
            <w:pPr>
              <w:spacing w:after="0"/>
            </w:pPr>
            <w:r>
              <w:rPr>
                <w:rFonts w:ascii="Arial" w:eastAsia="Arial" w:hAnsi="Arial"/>
                <w:color w:val="1A1A1A"/>
                <w:sz w:val="18"/>
                <w:szCs w:val="18"/>
              </w:rPr>
              <w:t>Complaint handling</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6C7129F5" w14:textId="77777777" w:rsidR="00CD5946" w:rsidRDefault="00000000">
            <w:pPr>
              <w:spacing w:after="0"/>
            </w:pPr>
            <w:r>
              <w:rPr>
                <w:rFonts w:ascii="Arial" w:eastAsia="Arial" w:hAnsi="Arial"/>
                <w:color w:val="1A1A1A"/>
                <w:sz w:val="18"/>
                <w:szCs w:val="18"/>
              </w:rPr>
              <w:t>All logged, investigated, trended; linked to batch &amp; deviation</w:t>
            </w:r>
          </w:p>
        </w:tc>
      </w:tr>
      <w:tr w:rsidR="00CD5946" w14:paraId="0E7E47CD"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1FD7A3C5" w14:textId="77777777" w:rsidR="00CD5946" w:rsidRDefault="00000000">
            <w:pPr>
              <w:spacing w:after="0"/>
            </w:pPr>
            <w:r>
              <w:rPr>
                <w:rFonts w:ascii="Arial" w:eastAsia="Arial" w:hAnsi="Arial"/>
                <w:color w:val="1A1A1A"/>
                <w:sz w:val="18"/>
                <w:szCs w:val="18"/>
              </w:rPr>
              <w:t>Returns assessment</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2EB26FF8" w14:textId="77777777" w:rsidR="00CD5946" w:rsidRDefault="00000000">
            <w:pPr>
              <w:spacing w:after="0"/>
            </w:pPr>
            <w:r>
              <w:rPr>
                <w:rFonts w:ascii="Arial" w:eastAsia="Arial" w:hAnsi="Arial"/>
                <w:color w:val="1A1A1A"/>
                <w:sz w:val="18"/>
                <w:szCs w:val="18"/>
              </w:rPr>
              <w:t>Quality assessment before any return to saleable stock</w:t>
            </w:r>
          </w:p>
        </w:tc>
      </w:tr>
      <w:tr w:rsidR="00CD5946" w14:paraId="13555D50"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1D953A9F" w14:textId="77777777" w:rsidR="00CD5946" w:rsidRDefault="00000000">
            <w:pPr>
              <w:spacing w:after="0"/>
            </w:pPr>
            <w:r>
              <w:rPr>
                <w:rFonts w:ascii="Arial" w:eastAsia="Arial" w:hAnsi="Arial"/>
                <w:color w:val="1A1A1A"/>
                <w:sz w:val="18"/>
                <w:szCs w:val="18"/>
              </w:rPr>
              <w:t>Falsified-medicine controls</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00F6B39E" w14:textId="77777777" w:rsidR="00CD5946" w:rsidRDefault="00000000">
            <w:pPr>
              <w:spacing w:after="0"/>
            </w:pPr>
            <w:r>
              <w:rPr>
                <w:rFonts w:ascii="Arial" w:eastAsia="Arial" w:hAnsi="Arial"/>
                <w:color w:val="1A1A1A"/>
                <w:sz w:val="18"/>
                <w:szCs w:val="18"/>
              </w:rPr>
              <w:t>Serialisation + tamper-evidence verified (EU FMD)</w:t>
            </w:r>
          </w:p>
        </w:tc>
      </w:tr>
    </w:tbl>
    <w:p w14:paraId="4CE98048" w14:textId="77777777" w:rsidR="00CD5946" w:rsidRDefault="00CD5946">
      <w:pPr>
        <w:spacing w:after="60"/>
      </w:pPr>
    </w:p>
    <w:p w14:paraId="34EB34AB" w14:textId="77777777" w:rsidR="00CD5946" w:rsidRDefault="00000000">
      <w:pPr>
        <w:pStyle w:val="Heading3"/>
        <w:keepNext/>
      </w:pPr>
      <w:bookmarkStart w:id="286" w:name="__RefHeading___Toc9709_1729075678"/>
      <w:bookmarkEnd w:id="286"/>
      <w:r>
        <w:lastRenderedPageBreak/>
        <w:t>Supplier Qualification &amp; Outsourced Activities</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18C1A7C1"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3E50527F"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2A79ABD4" w14:textId="77777777" w:rsidR="00CD5946" w:rsidRDefault="00000000">
            <w:pPr>
              <w:spacing w:after="0"/>
            </w:pPr>
            <w:r>
              <w:rPr>
                <w:rFonts w:ascii="Arial" w:eastAsia="Arial" w:hAnsi="Arial"/>
                <w:b/>
                <w:bCs/>
                <w:color w:val="FFFFFF"/>
                <w:sz w:val="18"/>
                <w:szCs w:val="18"/>
              </w:rPr>
              <w:t>Limit / acceptance criterion · source</w:t>
            </w:r>
          </w:p>
        </w:tc>
      </w:tr>
      <w:tr w:rsidR="00CD5946" w14:paraId="20D99D10"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584D5261" w14:textId="77777777" w:rsidR="00CD5946" w:rsidRDefault="00000000">
            <w:pPr>
              <w:spacing w:after="0"/>
            </w:pPr>
            <w:r>
              <w:rPr>
                <w:rFonts w:ascii="Arial" w:eastAsia="Arial" w:hAnsi="Arial"/>
                <w:color w:val="1A1A1A"/>
                <w:sz w:val="18"/>
                <w:szCs w:val="18"/>
              </w:rPr>
              <w:t>Supplier qualification</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295E4714" w14:textId="77777777" w:rsidR="00CD5946" w:rsidRDefault="00000000">
            <w:pPr>
              <w:spacing w:after="0"/>
            </w:pPr>
            <w:r>
              <w:rPr>
                <w:rFonts w:ascii="Arial" w:eastAsia="Arial" w:hAnsi="Arial"/>
                <w:color w:val="1A1A1A"/>
                <w:sz w:val="18"/>
                <w:szCs w:val="18"/>
              </w:rPr>
              <w:t>Audit + risk assessment before use — CoA alone is not qualification (EU GMP Ch.5.27–5.29; ICH Q7)</w:t>
            </w:r>
          </w:p>
        </w:tc>
      </w:tr>
      <w:tr w:rsidR="00CD5946" w14:paraId="52DE1511"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576B3DA3" w14:textId="77777777" w:rsidR="00CD5946" w:rsidRDefault="00000000">
            <w:pPr>
              <w:spacing w:after="0"/>
            </w:pPr>
            <w:r>
              <w:rPr>
                <w:rFonts w:ascii="Arial" w:eastAsia="Arial" w:hAnsi="Arial"/>
                <w:color w:val="1A1A1A"/>
                <w:sz w:val="18"/>
                <w:szCs w:val="18"/>
              </w:rPr>
              <w:t>Re-audit interval</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4828735A" w14:textId="77777777" w:rsidR="00CD5946" w:rsidRDefault="00000000">
            <w:pPr>
              <w:spacing w:after="0"/>
            </w:pPr>
            <w:r>
              <w:rPr>
                <w:rFonts w:ascii="Arial" w:eastAsia="Arial" w:hAnsi="Arial"/>
                <w:color w:val="1A1A1A"/>
                <w:sz w:val="18"/>
                <w:szCs w:val="18"/>
              </w:rPr>
              <w:t>Risk-based; critical active-substance suppliers typically ≤ 3 years</w:t>
            </w:r>
          </w:p>
        </w:tc>
      </w:tr>
      <w:tr w:rsidR="00CD5946" w14:paraId="4AD2705D"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2CDB110F" w14:textId="77777777" w:rsidR="00CD5946" w:rsidRDefault="00000000">
            <w:pPr>
              <w:spacing w:after="0"/>
            </w:pPr>
            <w:r>
              <w:rPr>
                <w:rFonts w:ascii="Arial" w:eastAsia="Arial" w:hAnsi="Arial"/>
                <w:color w:val="1A1A1A"/>
                <w:sz w:val="18"/>
                <w:szCs w:val="18"/>
              </w:rPr>
              <w:t>Technical / Quality Agreement</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6B2A24CB" w14:textId="77777777" w:rsidR="00CD5946" w:rsidRDefault="00000000">
            <w:pPr>
              <w:spacing w:after="0"/>
            </w:pPr>
            <w:r>
              <w:rPr>
                <w:rFonts w:ascii="Arial" w:eastAsia="Arial" w:hAnsi="Arial"/>
                <w:color w:val="1A1A1A"/>
                <w:sz w:val="18"/>
                <w:szCs w:val="18"/>
              </w:rPr>
              <w:t>In place, current, with each GMP duty assigned (EU GMP Ch.7)</w:t>
            </w:r>
          </w:p>
        </w:tc>
      </w:tr>
      <w:tr w:rsidR="00CD5946" w14:paraId="59CDD30F"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062D79EE" w14:textId="77777777" w:rsidR="00CD5946" w:rsidRDefault="00000000">
            <w:pPr>
              <w:spacing w:after="0"/>
            </w:pPr>
            <w:r>
              <w:rPr>
                <w:rFonts w:ascii="Arial" w:eastAsia="Arial" w:hAnsi="Arial"/>
                <w:color w:val="1A1A1A"/>
                <w:sz w:val="18"/>
                <w:szCs w:val="18"/>
              </w:rPr>
              <w:t>Supply-chain traceability</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19AB4048" w14:textId="77777777" w:rsidR="00CD5946" w:rsidRDefault="00000000">
            <w:pPr>
              <w:spacing w:after="0"/>
            </w:pPr>
            <w:r>
              <w:rPr>
                <w:rFonts w:ascii="Arial" w:eastAsia="Arial" w:hAnsi="Arial"/>
                <w:color w:val="1A1A1A"/>
                <w:sz w:val="18"/>
                <w:szCs w:val="18"/>
              </w:rPr>
              <w:t>Full chain to the original manufacturer; no undisclosed brokers</w:t>
            </w:r>
          </w:p>
        </w:tc>
      </w:tr>
      <w:tr w:rsidR="00CD5946" w14:paraId="672019C1"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4826DC89" w14:textId="77777777" w:rsidR="00CD5946" w:rsidRDefault="00000000">
            <w:pPr>
              <w:spacing w:after="0"/>
            </w:pPr>
            <w:r>
              <w:rPr>
                <w:rFonts w:ascii="Arial" w:eastAsia="Arial" w:hAnsi="Arial"/>
                <w:color w:val="1A1A1A"/>
                <w:sz w:val="18"/>
                <w:szCs w:val="18"/>
              </w:rPr>
              <w:t>Incoming verification</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15E757CD" w14:textId="77777777" w:rsidR="00CD5946" w:rsidRDefault="00000000">
            <w:pPr>
              <w:spacing w:after="0"/>
            </w:pPr>
            <w:r>
              <w:rPr>
                <w:rFonts w:ascii="Arial" w:eastAsia="Arial" w:hAnsi="Arial"/>
                <w:color w:val="1A1A1A"/>
                <w:sz w:val="18"/>
                <w:szCs w:val="18"/>
              </w:rPr>
              <w:t>Identity &amp; quality per spec; not CoA reliance alone</w:t>
            </w:r>
          </w:p>
        </w:tc>
      </w:tr>
    </w:tbl>
    <w:p w14:paraId="5588E97D" w14:textId="77777777" w:rsidR="00CD5946" w:rsidRDefault="00CD5946">
      <w:pPr>
        <w:spacing w:after="60"/>
      </w:pPr>
    </w:p>
    <w:p w14:paraId="00723B3A" w14:textId="77777777" w:rsidR="00CD5946" w:rsidRDefault="00000000">
      <w:pPr>
        <w:pStyle w:val="Heading3"/>
        <w:keepNext/>
      </w:pPr>
      <w:bookmarkStart w:id="287" w:name="__RefHeading___Toc9711_1729075678"/>
      <w:bookmarkEnd w:id="287"/>
      <w:r>
        <w:t>Self-Inspection &amp; Quality Audits</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438A7CF3"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3956D93E"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53D8E9B4" w14:textId="77777777" w:rsidR="00CD5946" w:rsidRDefault="00000000">
            <w:pPr>
              <w:spacing w:after="0"/>
            </w:pPr>
            <w:r>
              <w:rPr>
                <w:rFonts w:ascii="Arial" w:eastAsia="Arial" w:hAnsi="Arial"/>
                <w:b/>
                <w:bCs/>
                <w:color w:val="FFFFFF"/>
                <w:sz w:val="18"/>
                <w:szCs w:val="18"/>
              </w:rPr>
              <w:t>Limit / acceptance criterion · source</w:t>
            </w:r>
          </w:p>
        </w:tc>
      </w:tr>
      <w:tr w:rsidR="00CD5946" w14:paraId="02386988"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32E858F6" w14:textId="77777777" w:rsidR="00CD5946" w:rsidRDefault="00000000">
            <w:pPr>
              <w:spacing w:after="0"/>
            </w:pPr>
            <w:r>
              <w:rPr>
                <w:rFonts w:ascii="Arial" w:eastAsia="Arial" w:hAnsi="Arial"/>
                <w:color w:val="1A1A1A"/>
                <w:sz w:val="18"/>
                <w:szCs w:val="18"/>
              </w:rPr>
              <w:t>Programme &amp; frequency</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16A99150" w14:textId="77777777" w:rsidR="00CD5946" w:rsidRDefault="00000000">
            <w:pPr>
              <w:spacing w:after="0"/>
            </w:pPr>
            <w:r>
              <w:rPr>
                <w:rFonts w:ascii="Arial" w:eastAsia="Arial" w:hAnsi="Arial"/>
                <w:color w:val="1A1A1A"/>
                <w:sz w:val="18"/>
                <w:szCs w:val="18"/>
              </w:rPr>
              <w:t>Planned, covering all areas; commonly ≥ once per year per area (EU GMP Ch.9)</w:t>
            </w:r>
          </w:p>
        </w:tc>
      </w:tr>
      <w:tr w:rsidR="00CD5946" w14:paraId="0ACB16BF"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4935341D" w14:textId="77777777" w:rsidR="00CD5946" w:rsidRDefault="00000000">
            <w:pPr>
              <w:spacing w:after="0"/>
            </w:pPr>
            <w:r>
              <w:rPr>
                <w:rFonts w:ascii="Arial" w:eastAsia="Arial" w:hAnsi="Arial"/>
                <w:color w:val="1A1A1A"/>
                <w:sz w:val="18"/>
                <w:szCs w:val="18"/>
              </w:rPr>
              <w:t>Auditor independence</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191D0EBD" w14:textId="77777777" w:rsidR="00CD5946" w:rsidRDefault="00000000">
            <w:pPr>
              <w:spacing w:after="0"/>
            </w:pPr>
            <w:r>
              <w:rPr>
                <w:rFonts w:ascii="Arial" w:eastAsia="Arial" w:hAnsi="Arial"/>
                <w:color w:val="1A1A1A"/>
                <w:sz w:val="18"/>
                <w:szCs w:val="18"/>
              </w:rPr>
              <w:t>Independent &amp; competent; no auditing of one's own area</w:t>
            </w:r>
          </w:p>
        </w:tc>
      </w:tr>
      <w:tr w:rsidR="00CD5946" w14:paraId="218291B0"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2C3445B3" w14:textId="77777777" w:rsidR="00CD5946" w:rsidRDefault="00000000">
            <w:pPr>
              <w:spacing w:after="0"/>
            </w:pPr>
            <w:r>
              <w:rPr>
                <w:rFonts w:ascii="Arial" w:eastAsia="Arial" w:hAnsi="Arial"/>
                <w:color w:val="1A1A1A"/>
                <w:sz w:val="18"/>
                <w:szCs w:val="18"/>
              </w:rPr>
              <w:t>Findings → CAPA</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6C62B339" w14:textId="77777777" w:rsidR="00CD5946" w:rsidRDefault="00000000">
            <w:pPr>
              <w:spacing w:after="0"/>
            </w:pPr>
            <w:r>
              <w:rPr>
                <w:rFonts w:ascii="Arial" w:eastAsia="Arial" w:hAnsi="Arial"/>
                <w:color w:val="1A1A1A"/>
                <w:sz w:val="18"/>
                <w:szCs w:val="18"/>
              </w:rPr>
              <w:t>Every finding linked to CAPA, completion &amp; effectiveness check</w:t>
            </w:r>
          </w:p>
        </w:tc>
      </w:tr>
      <w:tr w:rsidR="00CD5946" w14:paraId="24DE2C8B"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291BC9B5" w14:textId="77777777" w:rsidR="00CD5946" w:rsidRDefault="00000000">
            <w:pPr>
              <w:spacing w:after="0"/>
            </w:pPr>
            <w:r>
              <w:rPr>
                <w:rFonts w:ascii="Arial" w:eastAsia="Arial" w:hAnsi="Arial"/>
                <w:color w:val="1A1A1A"/>
                <w:sz w:val="18"/>
                <w:szCs w:val="18"/>
              </w:rPr>
              <w:t>Scope</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2A15E425" w14:textId="77777777" w:rsidR="00CD5946" w:rsidRDefault="00000000">
            <w:pPr>
              <w:spacing w:after="0"/>
            </w:pPr>
            <w:r>
              <w:rPr>
                <w:rFonts w:ascii="Arial" w:eastAsia="Arial" w:hAnsi="Arial"/>
                <w:color w:val="1A1A1A"/>
                <w:sz w:val="18"/>
                <w:szCs w:val="18"/>
              </w:rPr>
              <w:t>Includes hard areas (sterile, DI, QC); not cosmetic</w:t>
            </w:r>
          </w:p>
        </w:tc>
      </w:tr>
    </w:tbl>
    <w:p w14:paraId="7A5FA6CF" w14:textId="77777777" w:rsidR="00CD5946" w:rsidRDefault="00CD5946">
      <w:pPr>
        <w:spacing w:after="60"/>
      </w:pPr>
    </w:p>
    <w:p w14:paraId="428F5CFE" w14:textId="77777777" w:rsidR="00CD5946" w:rsidRDefault="00000000">
      <w:pPr>
        <w:pStyle w:val="Heading3"/>
        <w:keepNext/>
      </w:pPr>
      <w:bookmarkStart w:id="288" w:name="__RefHeading___Toc9713_1729075678"/>
      <w:bookmarkEnd w:id="288"/>
      <w:r>
        <w:t>Good Distribution Practice (GDP) Interface</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3597"/>
        <w:gridCol w:w="5763"/>
      </w:tblGrid>
      <w:tr w:rsidR="00CD5946" w14:paraId="4275D875" w14:textId="77777777">
        <w:trPr>
          <w:tblHeader/>
        </w:trPr>
        <w:tc>
          <w:tcPr>
            <w:tcW w:w="3597" w:type="dxa"/>
            <w:tcBorders>
              <w:top w:val="single" w:sz="2" w:space="0" w:color="BFC9C0"/>
              <w:left w:val="single" w:sz="2" w:space="0" w:color="BFC9C0"/>
              <w:bottom w:val="single" w:sz="2" w:space="0" w:color="BFC9C0"/>
              <w:right w:val="single" w:sz="2" w:space="0" w:color="BFC9C0"/>
            </w:tcBorders>
            <w:shd w:val="clear" w:color="auto" w:fill="0E5A50"/>
          </w:tcPr>
          <w:p w14:paraId="10EF579D" w14:textId="77777777" w:rsidR="00CD5946" w:rsidRDefault="00000000">
            <w:pPr>
              <w:spacing w:after="0"/>
            </w:pPr>
            <w:r>
              <w:rPr>
                <w:rFonts w:ascii="Arial" w:eastAsia="Arial" w:hAnsi="Arial"/>
                <w:b/>
                <w:bCs/>
                <w:color w:val="FFFFFF"/>
                <w:sz w:val="18"/>
                <w:szCs w:val="18"/>
              </w:rPr>
              <w:t>Parameter</w:t>
            </w:r>
          </w:p>
        </w:tc>
        <w:tc>
          <w:tcPr>
            <w:tcW w:w="5763" w:type="dxa"/>
            <w:tcBorders>
              <w:top w:val="single" w:sz="2" w:space="0" w:color="BFC9C0"/>
              <w:left w:val="single" w:sz="2" w:space="0" w:color="BFC9C0"/>
              <w:bottom w:val="single" w:sz="2" w:space="0" w:color="BFC9C0"/>
              <w:right w:val="single" w:sz="2" w:space="0" w:color="BFC9C0"/>
            </w:tcBorders>
            <w:shd w:val="clear" w:color="auto" w:fill="0E5A50"/>
          </w:tcPr>
          <w:p w14:paraId="4900E59F" w14:textId="77777777" w:rsidR="00CD5946" w:rsidRDefault="00000000">
            <w:pPr>
              <w:spacing w:after="0"/>
            </w:pPr>
            <w:r>
              <w:rPr>
                <w:rFonts w:ascii="Arial" w:eastAsia="Arial" w:hAnsi="Arial"/>
                <w:b/>
                <w:bCs/>
                <w:color w:val="FFFFFF"/>
                <w:sz w:val="18"/>
                <w:szCs w:val="18"/>
              </w:rPr>
              <w:t>Limit / acceptance criterion · source</w:t>
            </w:r>
          </w:p>
        </w:tc>
      </w:tr>
      <w:tr w:rsidR="00CD5946" w14:paraId="5ADF33FB"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3DFDD639" w14:textId="77777777" w:rsidR="00CD5946" w:rsidRDefault="00000000">
            <w:pPr>
              <w:spacing w:after="0"/>
            </w:pPr>
            <w:r>
              <w:rPr>
                <w:rFonts w:ascii="Arial" w:eastAsia="Arial" w:hAnsi="Arial"/>
                <w:color w:val="1A1A1A"/>
                <w:sz w:val="18"/>
                <w:szCs w:val="18"/>
              </w:rPr>
              <w:t>Cold-chain storage</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4E101AC1" w14:textId="77777777" w:rsidR="00CD5946" w:rsidRDefault="00000000">
            <w:pPr>
              <w:spacing w:after="0"/>
            </w:pPr>
            <w:r>
              <w:rPr>
                <w:rFonts w:ascii="Arial" w:eastAsia="Arial" w:hAnsi="Arial"/>
                <w:color w:val="1A1A1A"/>
                <w:sz w:val="18"/>
                <w:szCs w:val="18"/>
              </w:rPr>
              <w:t>2–8 °C with continuous monitoring (WHO TRS GDP / EU GDP 2013/C 343/01)</w:t>
            </w:r>
          </w:p>
        </w:tc>
      </w:tr>
      <w:tr w:rsidR="00CD5946" w14:paraId="5F8F589E"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3FDA042B" w14:textId="77777777" w:rsidR="00CD5946" w:rsidRDefault="00000000">
            <w:pPr>
              <w:spacing w:after="0"/>
            </w:pPr>
            <w:r>
              <w:rPr>
                <w:rFonts w:ascii="Arial" w:eastAsia="Arial" w:hAnsi="Arial"/>
                <w:color w:val="1A1A1A"/>
                <w:sz w:val="18"/>
                <w:szCs w:val="18"/>
              </w:rPr>
              <w:t>Controlled room temperature</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29DEB340" w14:textId="77777777" w:rsidR="00CD5946" w:rsidRDefault="00000000">
            <w:pPr>
              <w:spacing w:after="0"/>
            </w:pPr>
            <w:r>
              <w:rPr>
                <w:rFonts w:ascii="Arial" w:eastAsia="Arial" w:hAnsi="Arial"/>
                <w:color w:val="1A1A1A"/>
                <w:sz w:val="18"/>
                <w:szCs w:val="18"/>
              </w:rPr>
              <w:t>15–25 °C (or per label 'do not exceed 30 °C')</w:t>
            </w:r>
          </w:p>
        </w:tc>
      </w:tr>
      <w:tr w:rsidR="00CD5946" w14:paraId="6F8DF6E3"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19479259" w14:textId="77777777" w:rsidR="00CD5946" w:rsidRDefault="00000000">
            <w:pPr>
              <w:spacing w:after="0"/>
            </w:pPr>
            <w:r>
              <w:rPr>
                <w:rFonts w:ascii="Arial" w:eastAsia="Arial" w:hAnsi="Arial"/>
                <w:color w:val="1A1A1A"/>
                <w:sz w:val="18"/>
                <w:szCs w:val="18"/>
              </w:rPr>
              <w:t>Temperature mapping</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69C617DA" w14:textId="77777777" w:rsidR="00CD5946" w:rsidRDefault="00000000">
            <w:pPr>
              <w:spacing w:after="0"/>
            </w:pPr>
            <w:r>
              <w:rPr>
                <w:rFonts w:ascii="Arial" w:eastAsia="Arial" w:hAnsi="Arial"/>
                <w:color w:val="1A1A1A"/>
                <w:sz w:val="18"/>
                <w:szCs w:val="18"/>
              </w:rPr>
              <w:t>Stores &amp; vehicles mapped (summer &amp; winter); sensors at worst points</w:t>
            </w:r>
          </w:p>
        </w:tc>
      </w:tr>
      <w:tr w:rsidR="00CD5946" w14:paraId="5C53117D"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3445437F" w14:textId="77777777" w:rsidR="00CD5946" w:rsidRDefault="00000000">
            <w:pPr>
              <w:spacing w:after="0"/>
            </w:pPr>
            <w:r>
              <w:rPr>
                <w:rFonts w:ascii="Arial" w:eastAsia="Arial" w:hAnsi="Arial"/>
                <w:color w:val="1A1A1A"/>
                <w:sz w:val="18"/>
                <w:szCs w:val="18"/>
              </w:rPr>
              <w:t>In-transit monitoring</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603B41AA" w14:textId="77777777" w:rsidR="00CD5946" w:rsidRDefault="00000000">
            <w:pPr>
              <w:spacing w:after="0"/>
            </w:pPr>
            <w:r>
              <w:rPr>
                <w:rFonts w:ascii="Arial" w:eastAsia="Arial" w:hAnsi="Arial"/>
                <w:color w:val="1A1A1A"/>
                <w:sz w:val="18"/>
                <w:szCs w:val="18"/>
              </w:rPr>
              <w:t>Continuous data-logger; qualified shipping lanes/containers</w:t>
            </w:r>
          </w:p>
        </w:tc>
      </w:tr>
      <w:tr w:rsidR="00CD5946" w14:paraId="11BBFF9B" w14:textId="77777777">
        <w:tc>
          <w:tcPr>
            <w:tcW w:w="3597" w:type="dxa"/>
            <w:tcBorders>
              <w:top w:val="single" w:sz="2" w:space="0" w:color="BFC9C0"/>
              <w:left w:val="single" w:sz="2" w:space="0" w:color="BFC9C0"/>
              <w:bottom w:val="single" w:sz="2" w:space="0" w:color="BFC9C0"/>
              <w:right w:val="single" w:sz="2" w:space="0" w:color="BFC9C0"/>
            </w:tcBorders>
            <w:shd w:val="clear" w:color="auto" w:fill="FFFFFF"/>
          </w:tcPr>
          <w:p w14:paraId="79D2D67A" w14:textId="77777777" w:rsidR="00CD5946" w:rsidRDefault="00000000">
            <w:pPr>
              <w:spacing w:after="0"/>
            </w:pPr>
            <w:r>
              <w:rPr>
                <w:rFonts w:ascii="Arial" w:eastAsia="Arial" w:hAnsi="Arial"/>
                <w:color w:val="1A1A1A"/>
                <w:sz w:val="18"/>
                <w:szCs w:val="18"/>
              </w:rPr>
              <w:t>Excursion management</w:t>
            </w:r>
          </w:p>
        </w:tc>
        <w:tc>
          <w:tcPr>
            <w:tcW w:w="5763" w:type="dxa"/>
            <w:tcBorders>
              <w:top w:val="single" w:sz="2" w:space="0" w:color="BFC9C0"/>
              <w:left w:val="single" w:sz="2" w:space="0" w:color="BFC9C0"/>
              <w:bottom w:val="single" w:sz="2" w:space="0" w:color="BFC9C0"/>
              <w:right w:val="single" w:sz="2" w:space="0" w:color="BFC9C0"/>
            </w:tcBorders>
            <w:shd w:val="clear" w:color="auto" w:fill="FFFFFF"/>
          </w:tcPr>
          <w:p w14:paraId="287B0001" w14:textId="77777777" w:rsidR="00CD5946" w:rsidRDefault="00000000">
            <w:pPr>
              <w:spacing w:after="0"/>
            </w:pPr>
            <w:r>
              <w:rPr>
                <w:rFonts w:ascii="Arial" w:eastAsia="Arial" w:hAnsi="Arial"/>
                <w:color w:val="1A1A1A"/>
                <w:sz w:val="18"/>
                <w:szCs w:val="18"/>
              </w:rPr>
              <w:t>Documented assessment vs product stability data before release</w:t>
            </w:r>
          </w:p>
        </w:tc>
      </w:tr>
      <w:tr w:rsidR="00CD5946" w14:paraId="0F7B5B12" w14:textId="77777777">
        <w:tc>
          <w:tcPr>
            <w:tcW w:w="3597" w:type="dxa"/>
            <w:tcBorders>
              <w:top w:val="single" w:sz="2" w:space="0" w:color="BFC9C0"/>
              <w:left w:val="single" w:sz="2" w:space="0" w:color="BFC9C0"/>
              <w:bottom w:val="single" w:sz="2" w:space="0" w:color="BFC9C0"/>
              <w:right w:val="single" w:sz="2" w:space="0" w:color="BFC9C0"/>
            </w:tcBorders>
            <w:shd w:val="clear" w:color="auto" w:fill="EEF3F1"/>
          </w:tcPr>
          <w:p w14:paraId="74499D98" w14:textId="77777777" w:rsidR="00CD5946" w:rsidRDefault="00000000">
            <w:pPr>
              <w:spacing w:after="0"/>
            </w:pPr>
            <w:r>
              <w:rPr>
                <w:rFonts w:ascii="Arial" w:eastAsia="Arial" w:hAnsi="Arial"/>
                <w:color w:val="1A1A1A"/>
                <w:sz w:val="18"/>
                <w:szCs w:val="18"/>
              </w:rPr>
              <w:t>Falsified-medicine verification</w:t>
            </w:r>
          </w:p>
        </w:tc>
        <w:tc>
          <w:tcPr>
            <w:tcW w:w="5763" w:type="dxa"/>
            <w:tcBorders>
              <w:top w:val="single" w:sz="2" w:space="0" w:color="BFC9C0"/>
              <w:left w:val="single" w:sz="2" w:space="0" w:color="BFC9C0"/>
              <w:bottom w:val="single" w:sz="2" w:space="0" w:color="BFC9C0"/>
              <w:right w:val="single" w:sz="2" w:space="0" w:color="BFC9C0"/>
            </w:tcBorders>
            <w:shd w:val="clear" w:color="auto" w:fill="EEF3F1"/>
          </w:tcPr>
          <w:p w14:paraId="472FCA94" w14:textId="77777777" w:rsidR="00CD5946" w:rsidRDefault="00000000">
            <w:pPr>
              <w:spacing w:after="0"/>
            </w:pPr>
            <w:r>
              <w:rPr>
                <w:rFonts w:ascii="Arial" w:eastAsia="Arial" w:hAnsi="Arial"/>
                <w:color w:val="1A1A1A"/>
                <w:sz w:val="18"/>
                <w:szCs w:val="18"/>
              </w:rPr>
              <w:t>Serial-number / tamper checks on receipt (EU FMD)</w:t>
            </w:r>
          </w:p>
        </w:tc>
      </w:tr>
    </w:tbl>
    <w:p w14:paraId="0A618A13" w14:textId="77777777" w:rsidR="00CD5946" w:rsidRDefault="00000000">
      <w:pPr>
        <w:spacing w:after="60"/>
      </w:pPr>
      <w:r>
        <w:br w:type="page"/>
      </w:r>
    </w:p>
    <w:p w14:paraId="5AFAA7C8" w14:textId="77777777" w:rsidR="00CD5946" w:rsidRDefault="00000000">
      <w:pPr>
        <w:pStyle w:val="Heading1"/>
        <w:spacing w:before="0"/>
      </w:pPr>
      <w:bookmarkStart w:id="289" w:name="__RefHeading___Toc9715_1729075678"/>
      <w:bookmarkEnd w:id="289"/>
      <w:r>
        <w:lastRenderedPageBreak/>
        <w:t>Appendix C — Glossary of definitions</w:t>
      </w:r>
    </w:p>
    <w:p w14:paraId="5D039C4A" w14:textId="77777777" w:rsidR="00CD5946" w:rsidRDefault="00000000">
      <w:pPr>
        <w:pStyle w:val="Heading2"/>
      </w:pPr>
      <w:bookmarkStart w:id="290" w:name="__RefHeading___Toc26896_4022559934"/>
      <w:bookmarkEnd w:id="290"/>
      <w:r>
        <w:rPr>
          <w:rFonts w:ascii="Calibri" w:eastAsia="Calibri" w:hAnsi="Calibri"/>
          <w:color w:val="14756A"/>
        </w:rPr>
        <w:t xml:space="preserve">Abbreviations &amp; Acronyms · </w:t>
      </w:r>
      <w:r>
        <w:rPr>
          <w:rFonts w:ascii="Calibri" w:eastAsia="Calibri" w:hAnsi="Calibri"/>
          <w:color w:val="14756A"/>
          <w:rtl/>
        </w:rPr>
        <w:t>المختصرات والمصطلحات</w:t>
      </w:r>
    </w:p>
    <w:p w14:paraId="6E8FADA7" w14:textId="77777777" w:rsidR="00CD5946" w:rsidRDefault="00000000">
      <w:pPr>
        <w:spacing w:before="20" w:after="60"/>
      </w:pPr>
      <w:r>
        <w:rPr>
          <w:i/>
          <w:color w:val="5A6B66"/>
          <w:sz w:val="18"/>
        </w:rPr>
        <w:t>English is authoritative; Arabic terms are provided in parallel.</w:t>
      </w:r>
    </w:p>
    <w:tbl>
      <w:tblPr>
        <w:tblW w:w="9360" w:type="dxa"/>
        <w:jc w:val="center"/>
        <w:tblLayout w:type="fixed"/>
        <w:tblCellMar>
          <w:top w:w="30" w:type="dxa"/>
          <w:left w:w="80" w:type="dxa"/>
          <w:bottom w:w="30" w:type="dxa"/>
          <w:right w:w="80" w:type="dxa"/>
        </w:tblCellMar>
        <w:tblLook w:val="0000" w:firstRow="0" w:lastRow="0" w:firstColumn="0" w:lastColumn="0" w:noHBand="0" w:noVBand="0"/>
      </w:tblPr>
      <w:tblGrid>
        <w:gridCol w:w="1500"/>
        <w:gridCol w:w="4260"/>
        <w:gridCol w:w="3600"/>
      </w:tblGrid>
      <w:tr w:rsidR="00CD5946" w14:paraId="513FD220" w14:textId="77777777">
        <w:trPr>
          <w:tblHeade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0E5A50"/>
            <w:vAlign w:val="center"/>
          </w:tcPr>
          <w:p w14:paraId="1905D9A7" w14:textId="77777777" w:rsidR="00CD5946" w:rsidRDefault="00000000">
            <w:pPr>
              <w:spacing w:before="10" w:after="10"/>
            </w:pPr>
            <w:r>
              <w:rPr>
                <w:rFonts w:ascii="Calibri" w:eastAsia="Calibri" w:hAnsi="Calibri"/>
                <w:b/>
                <w:color w:val="FFFFFF"/>
                <w:sz w:val="18"/>
              </w:rPr>
              <w:t>Abbrev.</w:t>
            </w:r>
          </w:p>
        </w:tc>
        <w:tc>
          <w:tcPr>
            <w:tcW w:w="4260" w:type="dxa"/>
            <w:tcBorders>
              <w:top w:val="single" w:sz="4" w:space="0" w:color="D8E0DD"/>
              <w:left w:val="single" w:sz="4" w:space="0" w:color="D8E0DD"/>
              <w:bottom w:val="single" w:sz="4" w:space="0" w:color="D8E0DD"/>
              <w:right w:val="single" w:sz="4" w:space="0" w:color="D8E0DD"/>
            </w:tcBorders>
            <w:shd w:val="clear" w:color="auto" w:fill="0E5A50"/>
            <w:vAlign w:val="center"/>
          </w:tcPr>
          <w:p w14:paraId="107BAA6C" w14:textId="77777777" w:rsidR="00CD5946" w:rsidRDefault="00000000">
            <w:pPr>
              <w:spacing w:before="10" w:after="10"/>
            </w:pPr>
            <w:r>
              <w:rPr>
                <w:rFonts w:ascii="Calibri" w:eastAsia="Calibri" w:hAnsi="Calibri"/>
                <w:b/>
                <w:color w:val="FFFFFF"/>
                <w:sz w:val="18"/>
              </w:rPr>
              <w:t>Meaning (English)</w:t>
            </w:r>
          </w:p>
        </w:tc>
        <w:tc>
          <w:tcPr>
            <w:tcW w:w="3600" w:type="dxa"/>
            <w:tcBorders>
              <w:top w:val="single" w:sz="4" w:space="0" w:color="D8E0DD"/>
              <w:left w:val="single" w:sz="4" w:space="0" w:color="D8E0DD"/>
              <w:bottom w:val="single" w:sz="4" w:space="0" w:color="D8E0DD"/>
              <w:right w:val="single" w:sz="4" w:space="0" w:color="D8E0DD"/>
            </w:tcBorders>
            <w:shd w:val="clear" w:color="auto" w:fill="0E5A50"/>
            <w:vAlign w:val="center"/>
          </w:tcPr>
          <w:p w14:paraId="7345A109" w14:textId="77777777" w:rsidR="00CD5946" w:rsidRDefault="00000000">
            <w:pPr>
              <w:bidi/>
              <w:spacing w:before="10" w:after="10"/>
            </w:pPr>
            <w:r>
              <w:rPr>
                <w:rFonts w:ascii="Calibri" w:eastAsia="Calibri" w:hAnsi="Calibri"/>
                <w:b/>
                <w:color w:val="FFFFFF"/>
                <w:sz w:val="18"/>
                <w:rtl/>
              </w:rPr>
              <w:t>المعنى (عربي)</w:t>
            </w:r>
          </w:p>
        </w:tc>
      </w:tr>
      <w:tr w:rsidR="00CD5946" w14:paraId="0B389B4A" w14:textId="77777777">
        <w:trPr>
          <w:jc w:val="center"/>
        </w:trPr>
        <w:tc>
          <w:tcPr>
            <w:tcW w:w="1500" w:type="dxa"/>
            <w:tcBorders>
              <w:top w:val="single" w:sz="4" w:space="0" w:color="D8E0DD"/>
              <w:left w:val="single" w:sz="4" w:space="0" w:color="D8E0DD"/>
              <w:bottom w:val="single" w:sz="4" w:space="0" w:color="D8E0DD"/>
              <w:right w:val="single" w:sz="4" w:space="0" w:color="D8E0DD"/>
            </w:tcBorders>
            <w:vAlign w:val="center"/>
          </w:tcPr>
          <w:p w14:paraId="186CF935" w14:textId="77777777" w:rsidR="00CD5946" w:rsidRDefault="00000000">
            <w:pPr>
              <w:spacing w:before="10" w:after="10"/>
            </w:pPr>
            <w:r>
              <w:rPr>
                <w:rFonts w:ascii="Calibri" w:eastAsia="Calibri" w:hAnsi="Calibri"/>
                <w:b/>
                <w:color w:val="0E5A50"/>
                <w:sz w:val="18"/>
              </w:rPr>
              <w:t>ALCOA+</w:t>
            </w:r>
          </w:p>
        </w:tc>
        <w:tc>
          <w:tcPr>
            <w:tcW w:w="4260" w:type="dxa"/>
            <w:tcBorders>
              <w:top w:val="single" w:sz="4" w:space="0" w:color="D8E0DD"/>
              <w:left w:val="single" w:sz="4" w:space="0" w:color="D8E0DD"/>
              <w:bottom w:val="single" w:sz="4" w:space="0" w:color="D8E0DD"/>
              <w:right w:val="single" w:sz="4" w:space="0" w:color="D8E0DD"/>
            </w:tcBorders>
            <w:vAlign w:val="center"/>
          </w:tcPr>
          <w:p w14:paraId="27A12917" w14:textId="77777777" w:rsidR="00CD5946" w:rsidRDefault="00000000">
            <w:pPr>
              <w:spacing w:before="10" w:after="10"/>
            </w:pPr>
            <w:r>
              <w:rPr>
                <w:rFonts w:ascii="Calibri" w:eastAsia="Calibri" w:hAnsi="Calibri"/>
                <w:sz w:val="18"/>
              </w:rPr>
              <w:t>Attributable, Legible, Contemporaneous, Original, Accurate (+ Complete, Consistent, Enduring, Available)</w:t>
            </w:r>
          </w:p>
        </w:tc>
        <w:tc>
          <w:tcPr>
            <w:tcW w:w="3600" w:type="dxa"/>
            <w:tcBorders>
              <w:top w:val="single" w:sz="4" w:space="0" w:color="D8E0DD"/>
              <w:left w:val="single" w:sz="4" w:space="0" w:color="D8E0DD"/>
              <w:bottom w:val="single" w:sz="4" w:space="0" w:color="D8E0DD"/>
              <w:right w:val="single" w:sz="4" w:space="0" w:color="D8E0DD"/>
            </w:tcBorders>
            <w:vAlign w:val="center"/>
          </w:tcPr>
          <w:p w14:paraId="6CB23217" w14:textId="77777777" w:rsidR="00CD5946" w:rsidRDefault="00000000">
            <w:pPr>
              <w:bidi/>
              <w:spacing w:before="10" w:after="10"/>
            </w:pPr>
            <w:r>
              <w:rPr>
                <w:rFonts w:ascii="Arial" w:eastAsia="Arial" w:hAnsi="Arial"/>
                <w:sz w:val="18"/>
                <w:rtl/>
              </w:rPr>
              <w:t>مبادئ سلامة البيانات</w:t>
            </w:r>
          </w:p>
        </w:tc>
      </w:tr>
      <w:tr w:rsidR="00CD5946" w14:paraId="67D3FB93"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15AA0DF9" w14:textId="77777777" w:rsidR="00CD5946" w:rsidRDefault="00000000">
            <w:pPr>
              <w:spacing w:before="10" w:after="10"/>
            </w:pPr>
            <w:r>
              <w:rPr>
                <w:rFonts w:ascii="Calibri" w:eastAsia="Calibri" w:hAnsi="Calibri"/>
                <w:b/>
                <w:color w:val="0E5A50"/>
                <w:sz w:val="18"/>
              </w:rPr>
              <w:t>API</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37E6C3C1" w14:textId="77777777" w:rsidR="00CD5946" w:rsidRDefault="00000000">
            <w:pPr>
              <w:spacing w:before="10" w:after="10"/>
            </w:pPr>
            <w:r>
              <w:rPr>
                <w:rFonts w:ascii="Calibri" w:eastAsia="Calibri" w:hAnsi="Calibri"/>
                <w:sz w:val="18"/>
              </w:rPr>
              <w:t>Active Pharmaceutical Ingredient (active substance)</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2AF082BB" w14:textId="77777777" w:rsidR="00CD5946" w:rsidRDefault="00000000">
            <w:pPr>
              <w:bidi/>
              <w:spacing w:before="10" w:after="10"/>
            </w:pPr>
            <w:r>
              <w:rPr>
                <w:rFonts w:ascii="Arial" w:eastAsia="Arial" w:hAnsi="Arial"/>
                <w:sz w:val="18"/>
                <w:rtl/>
              </w:rPr>
              <w:t>المكوّن الدوائي الفعّال (المادة الفعّالة)</w:t>
            </w:r>
          </w:p>
        </w:tc>
      </w:tr>
      <w:tr w:rsidR="00CD5946" w14:paraId="7768F9B6" w14:textId="77777777">
        <w:trPr>
          <w:jc w:val="center"/>
        </w:trPr>
        <w:tc>
          <w:tcPr>
            <w:tcW w:w="1500" w:type="dxa"/>
            <w:tcBorders>
              <w:top w:val="single" w:sz="4" w:space="0" w:color="D8E0DD"/>
              <w:left w:val="single" w:sz="4" w:space="0" w:color="D8E0DD"/>
              <w:bottom w:val="single" w:sz="4" w:space="0" w:color="D8E0DD"/>
              <w:right w:val="single" w:sz="4" w:space="0" w:color="D8E0DD"/>
            </w:tcBorders>
            <w:vAlign w:val="center"/>
          </w:tcPr>
          <w:p w14:paraId="4A6726B8" w14:textId="77777777" w:rsidR="00CD5946" w:rsidRDefault="00000000">
            <w:pPr>
              <w:spacing w:before="10" w:after="10"/>
            </w:pPr>
            <w:r>
              <w:rPr>
                <w:rFonts w:ascii="Calibri" w:eastAsia="Calibri" w:hAnsi="Calibri"/>
                <w:b/>
                <w:color w:val="0E5A50"/>
                <w:sz w:val="18"/>
              </w:rPr>
              <w:t>APR / PQR</w:t>
            </w:r>
          </w:p>
        </w:tc>
        <w:tc>
          <w:tcPr>
            <w:tcW w:w="4260" w:type="dxa"/>
            <w:tcBorders>
              <w:top w:val="single" w:sz="4" w:space="0" w:color="D8E0DD"/>
              <w:left w:val="single" w:sz="4" w:space="0" w:color="D8E0DD"/>
              <w:bottom w:val="single" w:sz="4" w:space="0" w:color="D8E0DD"/>
              <w:right w:val="single" w:sz="4" w:space="0" w:color="D8E0DD"/>
            </w:tcBorders>
            <w:vAlign w:val="center"/>
          </w:tcPr>
          <w:p w14:paraId="72454565" w14:textId="77777777" w:rsidR="00CD5946" w:rsidRDefault="00000000">
            <w:pPr>
              <w:spacing w:before="10" w:after="10"/>
            </w:pPr>
            <w:r>
              <w:rPr>
                <w:rFonts w:ascii="Calibri" w:eastAsia="Calibri" w:hAnsi="Calibri"/>
                <w:sz w:val="18"/>
              </w:rPr>
              <w:t>Annual Product Review / Product Quality Review</w:t>
            </w:r>
          </w:p>
        </w:tc>
        <w:tc>
          <w:tcPr>
            <w:tcW w:w="3600" w:type="dxa"/>
            <w:tcBorders>
              <w:top w:val="single" w:sz="4" w:space="0" w:color="D8E0DD"/>
              <w:left w:val="single" w:sz="4" w:space="0" w:color="D8E0DD"/>
              <w:bottom w:val="single" w:sz="4" w:space="0" w:color="D8E0DD"/>
              <w:right w:val="single" w:sz="4" w:space="0" w:color="D8E0DD"/>
            </w:tcBorders>
            <w:vAlign w:val="center"/>
          </w:tcPr>
          <w:p w14:paraId="66842AC0" w14:textId="77777777" w:rsidR="00CD5946" w:rsidRDefault="00000000">
            <w:pPr>
              <w:bidi/>
              <w:spacing w:before="10" w:after="10"/>
            </w:pPr>
            <w:r>
              <w:rPr>
                <w:rFonts w:ascii="Arial" w:eastAsia="Arial" w:hAnsi="Arial"/>
                <w:sz w:val="18"/>
                <w:rtl/>
              </w:rPr>
              <w:t>المراجعة الدورية لجودة المنتج</w:t>
            </w:r>
          </w:p>
        </w:tc>
      </w:tr>
      <w:tr w:rsidR="00CD5946" w14:paraId="4C6720F1"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1140C5E3" w14:textId="77777777" w:rsidR="00CD5946" w:rsidRDefault="00000000">
            <w:pPr>
              <w:spacing w:before="10" w:after="10"/>
            </w:pPr>
            <w:r>
              <w:rPr>
                <w:rFonts w:ascii="Calibri" w:eastAsia="Calibri" w:hAnsi="Calibri"/>
                <w:b/>
                <w:color w:val="0E5A50"/>
                <w:sz w:val="18"/>
              </w:rPr>
              <w:t>BMR / BPR</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7CF45839" w14:textId="77777777" w:rsidR="00CD5946" w:rsidRDefault="00000000">
            <w:pPr>
              <w:spacing w:before="10" w:after="10"/>
            </w:pPr>
            <w:r>
              <w:rPr>
                <w:rFonts w:ascii="Calibri" w:eastAsia="Calibri" w:hAnsi="Calibri"/>
                <w:sz w:val="18"/>
              </w:rPr>
              <w:t>Batch Manufacturing / Production Record</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44E97CD7" w14:textId="77777777" w:rsidR="00CD5946" w:rsidRDefault="00000000">
            <w:pPr>
              <w:bidi/>
              <w:spacing w:before="10" w:after="10"/>
            </w:pPr>
            <w:r>
              <w:rPr>
                <w:rFonts w:ascii="Arial" w:eastAsia="Arial" w:hAnsi="Arial"/>
                <w:sz w:val="18"/>
                <w:rtl/>
              </w:rPr>
              <w:t>سجلّ تصنيع/إنتاج التشغيلة</w:t>
            </w:r>
          </w:p>
        </w:tc>
      </w:tr>
      <w:tr w:rsidR="00CD5946" w14:paraId="6DF1C607" w14:textId="77777777">
        <w:trPr>
          <w:jc w:val="center"/>
        </w:trPr>
        <w:tc>
          <w:tcPr>
            <w:tcW w:w="1500" w:type="dxa"/>
            <w:tcBorders>
              <w:top w:val="single" w:sz="4" w:space="0" w:color="D8E0DD"/>
              <w:left w:val="single" w:sz="4" w:space="0" w:color="D8E0DD"/>
              <w:bottom w:val="single" w:sz="4" w:space="0" w:color="D8E0DD"/>
              <w:right w:val="single" w:sz="4" w:space="0" w:color="D8E0DD"/>
            </w:tcBorders>
            <w:vAlign w:val="center"/>
          </w:tcPr>
          <w:p w14:paraId="2B67996A" w14:textId="77777777" w:rsidR="00CD5946" w:rsidRDefault="00000000">
            <w:pPr>
              <w:spacing w:before="10" w:after="10"/>
            </w:pPr>
            <w:r>
              <w:rPr>
                <w:rFonts w:ascii="Calibri" w:eastAsia="Calibri" w:hAnsi="Calibri"/>
                <w:b/>
                <w:color w:val="0E5A50"/>
                <w:sz w:val="18"/>
              </w:rPr>
              <w:t>CAPA</w:t>
            </w:r>
          </w:p>
        </w:tc>
        <w:tc>
          <w:tcPr>
            <w:tcW w:w="4260" w:type="dxa"/>
            <w:tcBorders>
              <w:top w:val="single" w:sz="4" w:space="0" w:color="D8E0DD"/>
              <w:left w:val="single" w:sz="4" w:space="0" w:color="D8E0DD"/>
              <w:bottom w:val="single" w:sz="4" w:space="0" w:color="D8E0DD"/>
              <w:right w:val="single" w:sz="4" w:space="0" w:color="D8E0DD"/>
            </w:tcBorders>
            <w:vAlign w:val="center"/>
          </w:tcPr>
          <w:p w14:paraId="40754582" w14:textId="77777777" w:rsidR="00CD5946" w:rsidRDefault="00000000">
            <w:pPr>
              <w:spacing w:before="10" w:after="10"/>
            </w:pPr>
            <w:r>
              <w:rPr>
                <w:rFonts w:ascii="Calibri" w:eastAsia="Calibri" w:hAnsi="Calibri"/>
                <w:sz w:val="18"/>
              </w:rPr>
              <w:t>Corrective and Preventive Action</w:t>
            </w:r>
          </w:p>
        </w:tc>
        <w:tc>
          <w:tcPr>
            <w:tcW w:w="3600" w:type="dxa"/>
            <w:tcBorders>
              <w:top w:val="single" w:sz="4" w:space="0" w:color="D8E0DD"/>
              <w:left w:val="single" w:sz="4" w:space="0" w:color="D8E0DD"/>
              <w:bottom w:val="single" w:sz="4" w:space="0" w:color="D8E0DD"/>
              <w:right w:val="single" w:sz="4" w:space="0" w:color="D8E0DD"/>
            </w:tcBorders>
            <w:vAlign w:val="center"/>
          </w:tcPr>
          <w:p w14:paraId="6DF8696F" w14:textId="77777777" w:rsidR="00CD5946" w:rsidRDefault="00000000">
            <w:pPr>
              <w:bidi/>
              <w:spacing w:before="10" w:after="10"/>
            </w:pPr>
            <w:r>
              <w:rPr>
                <w:rFonts w:ascii="Arial" w:eastAsia="Arial" w:hAnsi="Arial"/>
                <w:sz w:val="18"/>
                <w:rtl/>
              </w:rPr>
              <w:t>الإجراء التصحيحي والوقائي</w:t>
            </w:r>
          </w:p>
        </w:tc>
      </w:tr>
      <w:tr w:rsidR="00CD5946" w14:paraId="73644B7E"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6F46DA60" w14:textId="77777777" w:rsidR="00CD5946" w:rsidRDefault="00000000">
            <w:pPr>
              <w:spacing w:before="10" w:after="10"/>
            </w:pPr>
            <w:r>
              <w:rPr>
                <w:rFonts w:ascii="Calibri" w:eastAsia="Calibri" w:hAnsi="Calibri"/>
                <w:b/>
                <w:color w:val="0E5A50"/>
                <w:sz w:val="18"/>
              </w:rPr>
              <w:t>CCS</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0C347B01" w14:textId="77777777" w:rsidR="00CD5946" w:rsidRDefault="00000000">
            <w:pPr>
              <w:spacing w:before="10" w:after="10"/>
            </w:pPr>
            <w:r>
              <w:rPr>
                <w:rFonts w:ascii="Calibri" w:eastAsia="Calibri" w:hAnsi="Calibri"/>
                <w:sz w:val="18"/>
              </w:rPr>
              <w:t>Contamination Control Strategy</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545F9F04" w14:textId="77777777" w:rsidR="00CD5946" w:rsidRDefault="00000000">
            <w:pPr>
              <w:bidi/>
              <w:spacing w:before="10" w:after="10"/>
            </w:pPr>
            <w:r>
              <w:rPr>
                <w:rFonts w:ascii="Arial" w:eastAsia="Arial" w:hAnsi="Arial"/>
                <w:sz w:val="18"/>
                <w:rtl/>
              </w:rPr>
              <w:t>استراتيجية ضبط التلوّث</w:t>
            </w:r>
          </w:p>
        </w:tc>
      </w:tr>
      <w:tr w:rsidR="00CD5946" w14:paraId="5FF14E3E" w14:textId="77777777">
        <w:trPr>
          <w:jc w:val="center"/>
        </w:trPr>
        <w:tc>
          <w:tcPr>
            <w:tcW w:w="1500" w:type="dxa"/>
            <w:tcBorders>
              <w:top w:val="single" w:sz="4" w:space="0" w:color="D8E0DD"/>
              <w:left w:val="single" w:sz="4" w:space="0" w:color="D8E0DD"/>
              <w:bottom w:val="single" w:sz="4" w:space="0" w:color="D8E0DD"/>
              <w:right w:val="single" w:sz="4" w:space="0" w:color="D8E0DD"/>
            </w:tcBorders>
            <w:vAlign w:val="center"/>
          </w:tcPr>
          <w:p w14:paraId="69B12851" w14:textId="77777777" w:rsidR="00CD5946" w:rsidRDefault="00000000">
            <w:pPr>
              <w:spacing w:before="10" w:after="10"/>
            </w:pPr>
            <w:r>
              <w:rPr>
                <w:rFonts w:ascii="Calibri" w:eastAsia="Calibri" w:hAnsi="Calibri"/>
                <w:b/>
                <w:color w:val="0E5A50"/>
                <w:sz w:val="18"/>
              </w:rPr>
              <w:t>CoA</w:t>
            </w:r>
          </w:p>
        </w:tc>
        <w:tc>
          <w:tcPr>
            <w:tcW w:w="4260" w:type="dxa"/>
            <w:tcBorders>
              <w:top w:val="single" w:sz="4" w:space="0" w:color="D8E0DD"/>
              <w:left w:val="single" w:sz="4" w:space="0" w:color="D8E0DD"/>
              <w:bottom w:val="single" w:sz="4" w:space="0" w:color="D8E0DD"/>
              <w:right w:val="single" w:sz="4" w:space="0" w:color="D8E0DD"/>
            </w:tcBorders>
            <w:vAlign w:val="center"/>
          </w:tcPr>
          <w:p w14:paraId="4C649BE5" w14:textId="77777777" w:rsidR="00CD5946" w:rsidRDefault="00000000">
            <w:pPr>
              <w:spacing w:before="10" w:after="10"/>
            </w:pPr>
            <w:r>
              <w:rPr>
                <w:rFonts w:ascii="Calibri" w:eastAsia="Calibri" w:hAnsi="Calibri"/>
                <w:sz w:val="18"/>
              </w:rPr>
              <w:t>Certificate of Analysis</w:t>
            </w:r>
          </w:p>
        </w:tc>
        <w:tc>
          <w:tcPr>
            <w:tcW w:w="3600" w:type="dxa"/>
            <w:tcBorders>
              <w:top w:val="single" w:sz="4" w:space="0" w:color="D8E0DD"/>
              <w:left w:val="single" w:sz="4" w:space="0" w:color="D8E0DD"/>
              <w:bottom w:val="single" w:sz="4" w:space="0" w:color="D8E0DD"/>
              <w:right w:val="single" w:sz="4" w:space="0" w:color="D8E0DD"/>
            </w:tcBorders>
            <w:vAlign w:val="center"/>
          </w:tcPr>
          <w:p w14:paraId="4ABD6C51" w14:textId="77777777" w:rsidR="00CD5946" w:rsidRDefault="00000000">
            <w:pPr>
              <w:bidi/>
              <w:spacing w:before="10" w:after="10"/>
            </w:pPr>
            <w:r>
              <w:rPr>
                <w:rFonts w:ascii="Arial" w:eastAsia="Arial" w:hAnsi="Arial"/>
                <w:sz w:val="18"/>
                <w:rtl/>
              </w:rPr>
              <w:t>شهادة التحليل</w:t>
            </w:r>
          </w:p>
        </w:tc>
      </w:tr>
      <w:tr w:rsidR="00CD5946" w14:paraId="6CB9FA88"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4753932A" w14:textId="77777777" w:rsidR="00CD5946" w:rsidRDefault="00000000">
            <w:pPr>
              <w:spacing w:before="10" w:after="10"/>
            </w:pPr>
            <w:r>
              <w:rPr>
                <w:rFonts w:ascii="Calibri" w:eastAsia="Calibri" w:hAnsi="Calibri"/>
                <w:b/>
                <w:color w:val="0E5A50"/>
                <w:sz w:val="18"/>
              </w:rPr>
              <w:t>CPP / CQA</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6C4188A6" w14:textId="77777777" w:rsidR="00CD5946" w:rsidRDefault="00000000">
            <w:pPr>
              <w:spacing w:before="10" w:after="10"/>
            </w:pPr>
            <w:r>
              <w:rPr>
                <w:rFonts w:ascii="Calibri" w:eastAsia="Calibri" w:hAnsi="Calibri"/>
                <w:sz w:val="18"/>
              </w:rPr>
              <w:t>Critical Process Parameter / Critical Quality Attribute</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292432B4" w14:textId="77777777" w:rsidR="00CD5946" w:rsidRDefault="00000000">
            <w:pPr>
              <w:bidi/>
              <w:spacing w:before="10" w:after="10"/>
            </w:pPr>
            <w:r>
              <w:rPr>
                <w:rFonts w:ascii="Arial" w:eastAsia="Arial" w:hAnsi="Arial"/>
                <w:sz w:val="18"/>
                <w:rtl/>
              </w:rPr>
              <w:t>معلَم العملية الحرج / خاصّية الجودة الحرجة</w:t>
            </w:r>
          </w:p>
        </w:tc>
      </w:tr>
      <w:tr w:rsidR="00CD5946" w14:paraId="73DD535C" w14:textId="77777777">
        <w:trPr>
          <w:jc w:val="center"/>
        </w:trPr>
        <w:tc>
          <w:tcPr>
            <w:tcW w:w="1500" w:type="dxa"/>
            <w:tcBorders>
              <w:top w:val="single" w:sz="4" w:space="0" w:color="D8E0DD"/>
              <w:left w:val="single" w:sz="4" w:space="0" w:color="D8E0DD"/>
              <w:bottom w:val="single" w:sz="4" w:space="0" w:color="D8E0DD"/>
              <w:right w:val="single" w:sz="4" w:space="0" w:color="D8E0DD"/>
            </w:tcBorders>
            <w:vAlign w:val="center"/>
          </w:tcPr>
          <w:p w14:paraId="35CD16C3" w14:textId="77777777" w:rsidR="00CD5946" w:rsidRDefault="00000000">
            <w:pPr>
              <w:spacing w:before="10" w:after="10"/>
            </w:pPr>
            <w:r>
              <w:rPr>
                <w:rFonts w:ascii="Calibri" w:eastAsia="Calibri" w:hAnsi="Calibri"/>
                <w:b/>
                <w:color w:val="0E5A50"/>
                <w:sz w:val="18"/>
              </w:rPr>
              <w:t>CSV / CSA</w:t>
            </w:r>
          </w:p>
        </w:tc>
        <w:tc>
          <w:tcPr>
            <w:tcW w:w="4260" w:type="dxa"/>
            <w:tcBorders>
              <w:top w:val="single" w:sz="4" w:space="0" w:color="D8E0DD"/>
              <w:left w:val="single" w:sz="4" w:space="0" w:color="D8E0DD"/>
              <w:bottom w:val="single" w:sz="4" w:space="0" w:color="D8E0DD"/>
              <w:right w:val="single" w:sz="4" w:space="0" w:color="D8E0DD"/>
            </w:tcBorders>
            <w:vAlign w:val="center"/>
          </w:tcPr>
          <w:p w14:paraId="17EF0B49" w14:textId="77777777" w:rsidR="00CD5946" w:rsidRDefault="00000000">
            <w:pPr>
              <w:spacing w:before="10" w:after="10"/>
            </w:pPr>
            <w:r>
              <w:rPr>
                <w:rFonts w:ascii="Calibri" w:eastAsia="Calibri" w:hAnsi="Calibri"/>
                <w:sz w:val="18"/>
              </w:rPr>
              <w:t>Computer System Validation / Assurance</w:t>
            </w:r>
          </w:p>
        </w:tc>
        <w:tc>
          <w:tcPr>
            <w:tcW w:w="3600" w:type="dxa"/>
            <w:tcBorders>
              <w:top w:val="single" w:sz="4" w:space="0" w:color="D8E0DD"/>
              <w:left w:val="single" w:sz="4" w:space="0" w:color="D8E0DD"/>
              <w:bottom w:val="single" w:sz="4" w:space="0" w:color="D8E0DD"/>
              <w:right w:val="single" w:sz="4" w:space="0" w:color="D8E0DD"/>
            </w:tcBorders>
            <w:vAlign w:val="center"/>
          </w:tcPr>
          <w:p w14:paraId="4890BE32" w14:textId="77777777" w:rsidR="00CD5946" w:rsidRDefault="00000000">
            <w:pPr>
              <w:bidi/>
              <w:spacing w:before="10" w:after="10"/>
            </w:pPr>
            <w:r>
              <w:rPr>
                <w:rFonts w:ascii="Arial" w:eastAsia="Arial" w:hAnsi="Arial"/>
                <w:sz w:val="18"/>
                <w:rtl/>
              </w:rPr>
              <w:t>التحقّق/التأكيد من النظام المحوسب</w:t>
            </w:r>
          </w:p>
        </w:tc>
      </w:tr>
      <w:tr w:rsidR="00CD5946" w14:paraId="7448FE1D"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0CD3F067" w14:textId="77777777" w:rsidR="00CD5946" w:rsidRDefault="00000000">
            <w:pPr>
              <w:spacing w:before="10" w:after="10"/>
            </w:pPr>
            <w:r>
              <w:rPr>
                <w:rFonts w:ascii="Calibri" w:eastAsia="Calibri" w:hAnsi="Calibri"/>
                <w:b/>
                <w:color w:val="0E5A50"/>
                <w:sz w:val="18"/>
              </w:rPr>
              <w:t>DI</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39BA5C2F" w14:textId="77777777" w:rsidR="00CD5946" w:rsidRDefault="00000000">
            <w:pPr>
              <w:spacing w:before="10" w:after="10"/>
            </w:pPr>
            <w:r>
              <w:rPr>
                <w:rFonts w:ascii="Calibri" w:eastAsia="Calibri" w:hAnsi="Calibri"/>
                <w:sz w:val="18"/>
              </w:rPr>
              <w:t>Data Integrity</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3D6F5CD4" w14:textId="77777777" w:rsidR="00CD5946" w:rsidRDefault="00000000">
            <w:pPr>
              <w:bidi/>
              <w:spacing w:before="10" w:after="10"/>
            </w:pPr>
            <w:r>
              <w:rPr>
                <w:rFonts w:ascii="Arial" w:eastAsia="Arial" w:hAnsi="Arial"/>
                <w:sz w:val="18"/>
                <w:rtl/>
              </w:rPr>
              <w:t>سلامة البيانات</w:t>
            </w:r>
          </w:p>
        </w:tc>
      </w:tr>
      <w:tr w:rsidR="00CD5946" w14:paraId="5D6543C3" w14:textId="77777777">
        <w:trPr>
          <w:jc w:val="center"/>
        </w:trPr>
        <w:tc>
          <w:tcPr>
            <w:tcW w:w="1500" w:type="dxa"/>
            <w:tcBorders>
              <w:top w:val="single" w:sz="4" w:space="0" w:color="D8E0DD"/>
              <w:left w:val="single" w:sz="4" w:space="0" w:color="D8E0DD"/>
              <w:bottom w:val="single" w:sz="4" w:space="0" w:color="D8E0DD"/>
              <w:right w:val="single" w:sz="4" w:space="0" w:color="D8E0DD"/>
            </w:tcBorders>
            <w:vAlign w:val="center"/>
          </w:tcPr>
          <w:p w14:paraId="2F499B38" w14:textId="77777777" w:rsidR="00CD5946" w:rsidRDefault="00000000">
            <w:pPr>
              <w:spacing w:before="10" w:after="10"/>
            </w:pPr>
            <w:r>
              <w:rPr>
                <w:rFonts w:ascii="Calibri" w:eastAsia="Calibri" w:hAnsi="Calibri"/>
                <w:b/>
                <w:color w:val="0E5A50"/>
                <w:sz w:val="18"/>
              </w:rPr>
              <w:t>DQ / IQ / OQ / PQ</w:t>
            </w:r>
          </w:p>
        </w:tc>
        <w:tc>
          <w:tcPr>
            <w:tcW w:w="4260" w:type="dxa"/>
            <w:tcBorders>
              <w:top w:val="single" w:sz="4" w:space="0" w:color="D8E0DD"/>
              <w:left w:val="single" w:sz="4" w:space="0" w:color="D8E0DD"/>
              <w:bottom w:val="single" w:sz="4" w:space="0" w:color="D8E0DD"/>
              <w:right w:val="single" w:sz="4" w:space="0" w:color="D8E0DD"/>
            </w:tcBorders>
            <w:vAlign w:val="center"/>
          </w:tcPr>
          <w:p w14:paraId="35D47069" w14:textId="77777777" w:rsidR="00CD5946" w:rsidRDefault="00000000">
            <w:pPr>
              <w:spacing w:before="10" w:after="10"/>
            </w:pPr>
            <w:r>
              <w:rPr>
                <w:rFonts w:ascii="Calibri" w:eastAsia="Calibri" w:hAnsi="Calibri"/>
                <w:sz w:val="18"/>
              </w:rPr>
              <w:t>Design / Installation / Operational / Performance Qualification</w:t>
            </w:r>
          </w:p>
        </w:tc>
        <w:tc>
          <w:tcPr>
            <w:tcW w:w="3600" w:type="dxa"/>
            <w:tcBorders>
              <w:top w:val="single" w:sz="4" w:space="0" w:color="D8E0DD"/>
              <w:left w:val="single" w:sz="4" w:space="0" w:color="D8E0DD"/>
              <w:bottom w:val="single" w:sz="4" w:space="0" w:color="D8E0DD"/>
              <w:right w:val="single" w:sz="4" w:space="0" w:color="D8E0DD"/>
            </w:tcBorders>
            <w:vAlign w:val="center"/>
          </w:tcPr>
          <w:p w14:paraId="31E94769" w14:textId="77777777" w:rsidR="00CD5946" w:rsidRDefault="00000000">
            <w:pPr>
              <w:bidi/>
              <w:spacing w:before="10" w:after="10"/>
            </w:pPr>
            <w:r>
              <w:rPr>
                <w:rFonts w:ascii="Arial" w:eastAsia="Arial" w:hAnsi="Arial"/>
                <w:sz w:val="18"/>
                <w:rtl/>
              </w:rPr>
              <w:t>تأهيل التصميم/التركيب/التشغيل/الأداء</w:t>
            </w:r>
          </w:p>
        </w:tc>
      </w:tr>
      <w:tr w:rsidR="00CD5946" w14:paraId="4E95C686"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10E567A9" w14:textId="77777777" w:rsidR="00CD5946" w:rsidRDefault="00000000">
            <w:pPr>
              <w:spacing w:before="10" w:after="10"/>
            </w:pPr>
            <w:r>
              <w:rPr>
                <w:rFonts w:ascii="Calibri" w:eastAsia="Calibri" w:hAnsi="Calibri"/>
                <w:b/>
                <w:color w:val="0E5A50"/>
                <w:sz w:val="18"/>
              </w:rPr>
              <w:t>EMA</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4BC66D60" w14:textId="77777777" w:rsidR="00CD5946" w:rsidRDefault="00000000">
            <w:pPr>
              <w:spacing w:before="10" w:after="10"/>
            </w:pPr>
            <w:r>
              <w:rPr>
                <w:rFonts w:ascii="Calibri" w:eastAsia="Calibri" w:hAnsi="Calibri"/>
                <w:sz w:val="18"/>
              </w:rPr>
              <w:t>European Medicines Agency</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165ED172" w14:textId="77777777" w:rsidR="00CD5946" w:rsidRDefault="00000000">
            <w:pPr>
              <w:bidi/>
              <w:spacing w:before="10" w:after="10"/>
            </w:pPr>
            <w:r>
              <w:rPr>
                <w:rFonts w:ascii="Arial" w:eastAsia="Arial" w:hAnsi="Arial"/>
                <w:sz w:val="18"/>
                <w:rtl/>
              </w:rPr>
              <w:t>الوكالة الأوروبية للأدوية</w:t>
            </w:r>
          </w:p>
        </w:tc>
      </w:tr>
      <w:tr w:rsidR="00CD5946" w14:paraId="52B74DC1" w14:textId="77777777">
        <w:trPr>
          <w:jc w:val="center"/>
        </w:trPr>
        <w:tc>
          <w:tcPr>
            <w:tcW w:w="1500" w:type="dxa"/>
            <w:tcBorders>
              <w:top w:val="single" w:sz="4" w:space="0" w:color="D8E0DD"/>
              <w:left w:val="single" w:sz="4" w:space="0" w:color="D8E0DD"/>
              <w:bottom w:val="single" w:sz="4" w:space="0" w:color="D8E0DD"/>
              <w:right w:val="single" w:sz="4" w:space="0" w:color="D8E0DD"/>
            </w:tcBorders>
            <w:vAlign w:val="center"/>
          </w:tcPr>
          <w:p w14:paraId="62EDE0CA" w14:textId="77777777" w:rsidR="00CD5946" w:rsidRDefault="00000000">
            <w:pPr>
              <w:spacing w:before="10" w:after="10"/>
            </w:pPr>
            <w:r>
              <w:rPr>
                <w:rFonts w:ascii="Calibri" w:eastAsia="Calibri" w:hAnsi="Calibri"/>
                <w:b/>
                <w:color w:val="0E5A50"/>
                <w:sz w:val="18"/>
              </w:rPr>
              <w:t>EU GMP</w:t>
            </w:r>
          </w:p>
        </w:tc>
        <w:tc>
          <w:tcPr>
            <w:tcW w:w="4260" w:type="dxa"/>
            <w:tcBorders>
              <w:top w:val="single" w:sz="4" w:space="0" w:color="D8E0DD"/>
              <w:left w:val="single" w:sz="4" w:space="0" w:color="D8E0DD"/>
              <w:bottom w:val="single" w:sz="4" w:space="0" w:color="D8E0DD"/>
              <w:right w:val="single" w:sz="4" w:space="0" w:color="D8E0DD"/>
            </w:tcBorders>
            <w:vAlign w:val="center"/>
          </w:tcPr>
          <w:p w14:paraId="5AD5849E" w14:textId="77777777" w:rsidR="00CD5946" w:rsidRDefault="00000000">
            <w:pPr>
              <w:spacing w:before="10" w:after="10"/>
            </w:pPr>
            <w:r>
              <w:rPr>
                <w:rFonts w:ascii="Calibri" w:eastAsia="Calibri" w:hAnsi="Calibri"/>
                <w:sz w:val="18"/>
              </w:rPr>
              <w:t>European Union Good Manufacturing Practice</w:t>
            </w:r>
          </w:p>
        </w:tc>
        <w:tc>
          <w:tcPr>
            <w:tcW w:w="3600" w:type="dxa"/>
            <w:tcBorders>
              <w:top w:val="single" w:sz="4" w:space="0" w:color="D8E0DD"/>
              <w:left w:val="single" w:sz="4" w:space="0" w:color="D8E0DD"/>
              <w:bottom w:val="single" w:sz="4" w:space="0" w:color="D8E0DD"/>
              <w:right w:val="single" w:sz="4" w:space="0" w:color="D8E0DD"/>
            </w:tcBorders>
            <w:vAlign w:val="center"/>
          </w:tcPr>
          <w:p w14:paraId="4C4D7611" w14:textId="77777777" w:rsidR="00CD5946" w:rsidRDefault="00000000">
            <w:pPr>
              <w:bidi/>
              <w:spacing w:before="10" w:after="10"/>
            </w:pPr>
            <w:r>
              <w:rPr>
                <w:rFonts w:ascii="Arial" w:eastAsia="Arial" w:hAnsi="Arial"/>
                <w:sz w:val="18"/>
                <w:rtl/>
              </w:rPr>
              <w:t>الممارسات التصنيعية الجيدة للاتحاد الأوروبي</w:t>
            </w:r>
          </w:p>
        </w:tc>
      </w:tr>
      <w:tr w:rsidR="00CD5946" w14:paraId="247DCFEF"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5D2ECE50" w14:textId="77777777" w:rsidR="00CD5946" w:rsidRDefault="00000000">
            <w:pPr>
              <w:spacing w:before="10" w:after="10"/>
            </w:pPr>
            <w:r>
              <w:rPr>
                <w:rFonts w:ascii="Calibri" w:eastAsia="Calibri" w:hAnsi="Calibri"/>
                <w:b/>
                <w:color w:val="0E5A50"/>
                <w:sz w:val="18"/>
              </w:rPr>
              <w:t>FDA</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67ADADCC" w14:textId="77777777" w:rsidR="00CD5946" w:rsidRDefault="00000000">
            <w:pPr>
              <w:spacing w:before="10" w:after="10"/>
            </w:pPr>
            <w:r>
              <w:rPr>
                <w:rFonts w:ascii="Calibri" w:eastAsia="Calibri" w:hAnsi="Calibri"/>
                <w:sz w:val="18"/>
              </w:rPr>
              <w:t>(US) Food and Drug Administration</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0CF16A0B" w14:textId="77777777" w:rsidR="00CD5946" w:rsidRDefault="00000000">
            <w:pPr>
              <w:bidi/>
              <w:spacing w:before="10" w:after="10"/>
            </w:pPr>
            <w:r>
              <w:rPr>
                <w:rFonts w:ascii="Arial" w:eastAsia="Arial" w:hAnsi="Arial"/>
                <w:sz w:val="18"/>
                <w:rtl/>
              </w:rPr>
              <w:t>إدارة الغذاء والدواء الأمريكية</w:t>
            </w:r>
          </w:p>
        </w:tc>
      </w:tr>
      <w:tr w:rsidR="00CD5946" w14:paraId="15409CA9" w14:textId="77777777">
        <w:trPr>
          <w:jc w:val="center"/>
        </w:trPr>
        <w:tc>
          <w:tcPr>
            <w:tcW w:w="1500" w:type="dxa"/>
            <w:tcBorders>
              <w:top w:val="single" w:sz="4" w:space="0" w:color="D8E0DD"/>
              <w:left w:val="single" w:sz="4" w:space="0" w:color="D8E0DD"/>
              <w:bottom w:val="single" w:sz="4" w:space="0" w:color="D8E0DD"/>
              <w:right w:val="single" w:sz="4" w:space="0" w:color="D8E0DD"/>
            </w:tcBorders>
            <w:vAlign w:val="center"/>
          </w:tcPr>
          <w:p w14:paraId="099ED68C" w14:textId="77777777" w:rsidR="00CD5946" w:rsidRDefault="00000000">
            <w:pPr>
              <w:spacing w:before="10" w:after="10"/>
            </w:pPr>
            <w:r>
              <w:rPr>
                <w:rFonts w:ascii="Calibri" w:eastAsia="Calibri" w:hAnsi="Calibri"/>
                <w:b/>
                <w:color w:val="0E5A50"/>
                <w:sz w:val="18"/>
              </w:rPr>
              <w:t>GDP</w:t>
            </w:r>
          </w:p>
        </w:tc>
        <w:tc>
          <w:tcPr>
            <w:tcW w:w="4260" w:type="dxa"/>
            <w:tcBorders>
              <w:top w:val="single" w:sz="4" w:space="0" w:color="D8E0DD"/>
              <w:left w:val="single" w:sz="4" w:space="0" w:color="D8E0DD"/>
              <w:bottom w:val="single" w:sz="4" w:space="0" w:color="D8E0DD"/>
              <w:right w:val="single" w:sz="4" w:space="0" w:color="D8E0DD"/>
            </w:tcBorders>
            <w:vAlign w:val="center"/>
          </w:tcPr>
          <w:p w14:paraId="2D9980B8" w14:textId="77777777" w:rsidR="00CD5946" w:rsidRDefault="00000000">
            <w:pPr>
              <w:spacing w:before="10" w:after="10"/>
            </w:pPr>
            <w:r>
              <w:rPr>
                <w:rFonts w:ascii="Calibri" w:eastAsia="Calibri" w:hAnsi="Calibri"/>
                <w:sz w:val="18"/>
              </w:rPr>
              <w:t>Good Distribution Practice</w:t>
            </w:r>
          </w:p>
        </w:tc>
        <w:tc>
          <w:tcPr>
            <w:tcW w:w="3600" w:type="dxa"/>
            <w:tcBorders>
              <w:top w:val="single" w:sz="4" w:space="0" w:color="D8E0DD"/>
              <w:left w:val="single" w:sz="4" w:space="0" w:color="D8E0DD"/>
              <w:bottom w:val="single" w:sz="4" w:space="0" w:color="D8E0DD"/>
              <w:right w:val="single" w:sz="4" w:space="0" w:color="D8E0DD"/>
            </w:tcBorders>
            <w:vAlign w:val="center"/>
          </w:tcPr>
          <w:p w14:paraId="74EBCDBC" w14:textId="77777777" w:rsidR="00CD5946" w:rsidRDefault="00000000">
            <w:pPr>
              <w:bidi/>
              <w:spacing w:before="10" w:after="10"/>
            </w:pPr>
            <w:r>
              <w:rPr>
                <w:rFonts w:ascii="Arial" w:eastAsia="Arial" w:hAnsi="Arial"/>
                <w:sz w:val="18"/>
                <w:rtl/>
              </w:rPr>
              <w:t>ممارسات التوزيع الجيدة</w:t>
            </w:r>
          </w:p>
        </w:tc>
      </w:tr>
      <w:tr w:rsidR="00CD5946" w14:paraId="61DAF6DB"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6AC6C081" w14:textId="77777777" w:rsidR="00CD5946" w:rsidRDefault="00000000">
            <w:pPr>
              <w:spacing w:before="10" w:after="10"/>
            </w:pPr>
            <w:r>
              <w:rPr>
                <w:rFonts w:ascii="Calibri" w:eastAsia="Calibri" w:hAnsi="Calibri"/>
                <w:b/>
                <w:color w:val="0E5A50"/>
                <w:sz w:val="18"/>
              </w:rPr>
              <w:t>GMP / cGMP</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65D40F25" w14:textId="77777777" w:rsidR="00CD5946" w:rsidRDefault="00000000">
            <w:pPr>
              <w:spacing w:before="10" w:after="10"/>
            </w:pPr>
            <w:r>
              <w:rPr>
                <w:rFonts w:ascii="Calibri" w:eastAsia="Calibri" w:hAnsi="Calibri"/>
                <w:sz w:val="18"/>
              </w:rPr>
              <w:t>(current) Good Manufacturing Practice</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1355E911" w14:textId="77777777" w:rsidR="00CD5946" w:rsidRDefault="00000000">
            <w:pPr>
              <w:bidi/>
              <w:spacing w:before="10" w:after="10"/>
            </w:pPr>
            <w:r>
              <w:rPr>
                <w:rFonts w:ascii="Arial" w:eastAsia="Arial" w:hAnsi="Arial"/>
                <w:sz w:val="18"/>
                <w:rtl/>
              </w:rPr>
              <w:t>الممارسات التصنيعية الجيدة (الحالية)</w:t>
            </w:r>
          </w:p>
        </w:tc>
      </w:tr>
      <w:tr w:rsidR="00CD5946" w14:paraId="71149AB3" w14:textId="77777777">
        <w:trPr>
          <w:jc w:val="center"/>
        </w:trPr>
        <w:tc>
          <w:tcPr>
            <w:tcW w:w="1500" w:type="dxa"/>
            <w:tcBorders>
              <w:top w:val="single" w:sz="4" w:space="0" w:color="D8E0DD"/>
              <w:left w:val="single" w:sz="4" w:space="0" w:color="D8E0DD"/>
              <w:bottom w:val="single" w:sz="4" w:space="0" w:color="D8E0DD"/>
              <w:right w:val="single" w:sz="4" w:space="0" w:color="D8E0DD"/>
            </w:tcBorders>
            <w:vAlign w:val="center"/>
          </w:tcPr>
          <w:p w14:paraId="283D2CEA" w14:textId="77777777" w:rsidR="00CD5946" w:rsidRDefault="00000000">
            <w:pPr>
              <w:spacing w:before="10" w:after="10"/>
            </w:pPr>
            <w:r>
              <w:rPr>
                <w:rFonts w:ascii="Calibri" w:eastAsia="Calibri" w:hAnsi="Calibri"/>
                <w:b/>
                <w:color w:val="0E5A50"/>
                <w:sz w:val="18"/>
              </w:rPr>
              <w:t>HBEL</w:t>
            </w:r>
          </w:p>
        </w:tc>
        <w:tc>
          <w:tcPr>
            <w:tcW w:w="4260" w:type="dxa"/>
            <w:tcBorders>
              <w:top w:val="single" w:sz="4" w:space="0" w:color="D8E0DD"/>
              <w:left w:val="single" w:sz="4" w:space="0" w:color="D8E0DD"/>
              <w:bottom w:val="single" w:sz="4" w:space="0" w:color="D8E0DD"/>
              <w:right w:val="single" w:sz="4" w:space="0" w:color="D8E0DD"/>
            </w:tcBorders>
            <w:vAlign w:val="center"/>
          </w:tcPr>
          <w:p w14:paraId="4DF0E26D" w14:textId="77777777" w:rsidR="00CD5946" w:rsidRDefault="00000000">
            <w:pPr>
              <w:spacing w:before="10" w:after="10"/>
            </w:pPr>
            <w:r>
              <w:rPr>
                <w:rFonts w:ascii="Calibri" w:eastAsia="Calibri" w:hAnsi="Calibri"/>
                <w:sz w:val="18"/>
              </w:rPr>
              <w:t>Health-Based Exposure Limit</w:t>
            </w:r>
          </w:p>
        </w:tc>
        <w:tc>
          <w:tcPr>
            <w:tcW w:w="3600" w:type="dxa"/>
            <w:tcBorders>
              <w:top w:val="single" w:sz="4" w:space="0" w:color="D8E0DD"/>
              <w:left w:val="single" w:sz="4" w:space="0" w:color="D8E0DD"/>
              <w:bottom w:val="single" w:sz="4" w:space="0" w:color="D8E0DD"/>
              <w:right w:val="single" w:sz="4" w:space="0" w:color="D8E0DD"/>
            </w:tcBorders>
            <w:vAlign w:val="center"/>
          </w:tcPr>
          <w:p w14:paraId="2D2B4C23" w14:textId="77777777" w:rsidR="00CD5946" w:rsidRDefault="00000000">
            <w:pPr>
              <w:bidi/>
              <w:spacing w:before="10" w:after="10"/>
            </w:pPr>
            <w:r>
              <w:rPr>
                <w:rFonts w:ascii="Arial" w:eastAsia="Arial" w:hAnsi="Arial"/>
                <w:sz w:val="18"/>
                <w:rtl/>
              </w:rPr>
              <w:t>حدّ التعرّض القائم على الصحة</w:t>
            </w:r>
          </w:p>
        </w:tc>
      </w:tr>
      <w:tr w:rsidR="00CD5946" w14:paraId="6F250436"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3E7FC9E0" w14:textId="77777777" w:rsidR="00CD5946" w:rsidRDefault="00000000">
            <w:pPr>
              <w:spacing w:before="10" w:after="10"/>
            </w:pPr>
            <w:r>
              <w:rPr>
                <w:rFonts w:ascii="Calibri" w:eastAsia="Calibri" w:hAnsi="Calibri"/>
                <w:b/>
                <w:color w:val="0E5A50"/>
                <w:sz w:val="18"/>
              </w:rPr>
              <w:t>HEPA</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47707229" w14:textId="77777777" w:rsidR="00CD5946" w:rsidRDefault="00000000">
            <w:pPr>
              <w:spacing w:before="10" w:after="10"/>
            </w:pPr>
            <w:r>
              <w:rPr>
                <w:rFonts w:ascii="Calibri" w:eastAsia="Calibri" w:hAnsi="Calibri"/>
                <w:sz w:val="18"/>
              </w:rPr>
              <w:t>High-Efficiency Particulate Air (filter)</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3FD87C4A" w14:textId="77777777" w:rsidR="00CD5946" w:rsidRDefault="00000000">
            <w:pPr>
              <w:bidi/>
              <w:spacing w:before="10" w:after="10"/>
            </w:pPr>
            <w:r>
              <w:rPr>
                <w:rFonts w:ascii="Arial" w:eastAsia="Arial" w:hAnsi="Arial"/>
                <w:sz w:val="18"/>
                <w:rtl/>
              </w:rPr>
              <w:t>مرشّح الجسيمات عالي الكفاءة</w:t>
            </w:r>
          </w:p>
        </w:tc>
      </w:tr>
      <w:tr w:rsidR="00CD5946" w14:paraId="7E38E548" w14:textId="77777777">
        <w:trPr>
          <w:jc w:val="center"/>
        </w:trPr>
        <w:tc>
          <w:tcPr>
            <w:tcW w:w="1500" w:type="dxa"/>
            <w:tcBorders>
              <w:top w:val="single" w:sz="4" w:space="0" w:color="D8E0DD"/>
              <w:left w:val="single" w:sz="4" w:space="0" w:color="D8E0DD"/>
              <w:bottom w:val="single" w:sz="4" w:space="0" w:color="D8E0DD"/>
              <w:right w:val="single" w:sz="4" w:space="0" w:color="D8E0DD"/>
            </w:tcBorders>
            <w:vAlign w:val="center"/>
          </w:tcPr>
          <w:p w14:paraId="7A1F89F1" w14:textId="77777777" w:rsidR="00CD5946" w:rsidRDefault="00000000">
            <w:pPr>
              <w:spacing w:before="10" w:after="10"/>
            </w:pPr>
            <w:r>
              <w:rPr>
                <w:rFonts w:ascii="Calibri" w:eastAsia="Calibri" w:hAnsi="Calibri"/>
                <w:b/>
                <w:color w:val="0E5A50"/>
                <w:sz w:val="18"/>
              </w:rPr>
              <w:t>HVAC</w:t>
            </w:r>
          </w:p>
        </w:tc>
        <w:tc>
          <w:tcPr>
            <w:tcW w:w="4260" w:type="dxa"/>
            <w:tcBorders>
              <w:top w:val="single" w:sz="4" w:space="0" w:color="D8E0DD"/>
              <w:left w:val="single" w:sz="4" w:space="0" w:color="D8E0DD"/>
              <w:bottom w:val="single" w:sz="4" w:space="0" w:color="D8E0DD"/>
              <w:right w:val="single" w:sz="4" w:space="0" w:color="D8E0DD"/>
            </w:tcBorders>
            <w:vAlign w:val="center"/>
          </w:tcPr>
          <w:p w14:paraId="26FBEC59" w14:textId="77777777" w:rsidR="00CD5946" w:rsidRDefault="00000000">
            <w:pPr>
              <w:spacing w:before="10" w:after="10"/>
            </w:pPr>
            <w:r>
              <w:rPr>
                <w:rFonts w:ascii="Calibri" w:eastAsia="Calibri" w:hAnsi="Calibri"/>
                <w:sz w:val="18"/>
              </w:rPr>
              <w:t>Heating, Ventilation and Air Conditioning</w:t>
            </w:r>
          </w:p>
        </w:tc>
        <w:tc>
          <w:tcPr>
            <w:tcW w:w="3600" w:type="dxa"/>
            <w:tcBorders>
              <w:top w:val="single" w:sz="4" w:space="0" w:color="D8E0DD"/>
              <w:left w:val="single" w:sz="4" w:space="0" w:color="D8E0DD"/>
              <w:bottom w:val="single" w:sz="4" w:space="0" w:color="D8E0DD"/>
              <w:right w:val="single" w:sz="4" w:space="0" w:color="D8E0DD"/>
            </w:tcBorders>
            <w:vAlign w:val="center"/>
          </w:tcPr>
          <w:p w14:paraId="29A6C74F" w14:textId="77777777" w:rsidR="00CD5946" w:rsidRDefault="00000000">
            <w:pPr>
              <w:bidi/>
              <w:spacing w:before="10" w:after="10"/>
            </w:pPr>
            <w:r>
              <w:rPr>
                <w:rFonts w:ascii="Arial" w:eastAsia="Arial" w:hAnsi="Arial"/>
                <w:sz w:val="18"/>
                <w:rtl/>
              </w:rPr>
              <w:t>التدفئة والتهوية وتكييف الهواء</w:t>
            </w:r>
          </w:p>
        </w:tc>
      </w:tr>
      <w:tr w:rsidR="00CD5946" w14:paraId="7DFABDA8"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67C0F536" w14:textId="77777777" w:rsidR="00CD5946" w:rsidRDefault="00000000">
            <w:pPr>
              <w:spacing w:before="10" w:after="10"/>
            </w:pPr>
            <w:r>
              <w:rPr>
                <w:rFonts w:ascii="Calibri" w:eastAsia="Calibri" w:hAnsi="Calibri"/>
                <w:b/>
                <w:color w:val="0E5A50"/>
                <w:sz w:val="18"/>
              </w:rPr>
              <w:t>ICH</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708C14C5" w14:textId="77777777" w:rsidR="00CD5946" w:rsidRDefault="00000000">
            <w:pPr>
              <w:spacing w:before="10" w:after="10"/>
            </w:pPr>
            <w:r>
              <w:rPr>
                <w:rFonts w:ascii="Calibri" w:eastAsia="Calibri" w:hAnsi="Calibri"/>
                <w:sz w:val="18"/>
              </w:rPr>
              <w:t>International Council for Harmonisation</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4905C8F2" w14:textId="77777777" w:rsidR="00CD5946" w:rsidRDefault="00000000">
            <w:pPr>
              <w:bidi/>
              <w:spacing w:before="10" w:after="10"/>
            </w:pPr>
            <w:r>
              <w:rPr>
                <w:rFonts w:ascii="Arial" w:eastAsia="Arial" w:hAnsi="Arial"/>
                <w:sz w:val="18"/>
                <w:rtl/>
              </w:rPr>
              <w:t>المجلس الدولي للمواءمة</w:t>
            </w:r>
          </w:p>
        </w:tc>
      </w:tr>
      <w:tr w:rsidR="00CD5946" w14:paraId="20F26032" w14:textId="77777777">
        <w:trPr>
          <w:jc w:val="center"/>
        </w:trPr>
        <w:tc>
          <w:tcPr>
            <w:tcW w:w="1500" w:type="dxa"/>
            <w:tcBorders>
              <w:top w:val="single" w:sz="4" w:space="0" w:color="D8E0DD"/>
              <w:left w:val="single" w:sz="4" w:space="0" w:color="D8E0DD"/>
              <w:bottom w:val="single" w:sz="4" w:space="0" w:color="D8E0DD"/>
              <w:right w:val="single" w:sz="4" w:space="0" w:color="D8E0DD"/>
            </w:tcBorders>
            <w:vAlign w:val="center"/>
          </w:tcPr>
          <w:p w14:paraId="174ADCC1" w14:textId="77777777" w:rsidR="00CD5946" w:rsidRDefault="00000000">
            <w:pPr>
              <w:spacing w:before="10" w:after="10"/>
            </w:pPr>
            <w:r>
              <w:rPr>
                <w:rFonts w:ascii="Calibri" w:eastAsia="Calibri" w:hAnsi="Calibri"/>
                <w:b/>
                <w:color w:val="0E5A50"/>
                <w:sz w:val="18"/>
              </w:rPr>
              <w:t>IMP</w:t>
            </w:r>
          </w:p>
        </w:tc>
        <w:tc>
          <w:tcPr>
            <w:tcW w:w="4260" w:type="dxa"/>
            <w:tcBorders>
              <w:top w:val="single" w:sz="4" w:space="0" w:color="D8E0DD"/>
              <w:left w:val="single" w:sz="4" w:space="0" w:color="D8E0DD"/>
              <w:bottom w:val="single" w:sz="4" w:space="0" w:color="D8E0DD"/>
              <w:right w:val="single" w:sz="4" w:space="0" w:color="D8E0DD"/>
            </w:tcBorders>
            <w:vAlign w:val="center"/>
          </w:tcPr>
          <w:p w14:paraId="2E03A25E" w14:textId="77777777" w:rsidR="00CD5946" w:rsidRDefault="00000000">
            <w:pPr>
              <w:spacing w:before="10" w:after="10"/>
            </w:pPr>
            <w:r>
              <w:rPr>
                <w:rFonts w:ascii="Calibri" w:eastAsia="Calibri" w:hAnsi="Calibri"/>
                <w:sz w:val="18"/>
              </w:rPr>
              <w:t>Investigational Medicinal Product</w:t>
            </w:r>
          </w:p>
        </w:tc>
        <w:tc>
          <w:tcPr>
            <w:tcW w:w="3600" w:type="dxa"/>
            <w:tcBorders>
              <w:top w:val="single" w:sz="4" w:space="0" w:color="D8E0DD"/>
              <w:left w:val="single" w:sz="4" w:space="0" w:color="D8E0DD"/>
              <w:bottom w:val="single" w:sz="4" w:space="0" w:color="D8E0DD"/>
              <w:right w:val="single" w:sz="4" w:space="0" w:color="D8E0DD"/>
            </w:tcBorders>
            <w:vAlign w:val="center"/>
          </w:tcPr>
          <w:p w14:paraId="5C78CA36" w14:textId="77777777" w:rsidR="00CD5946" w:rsidRDefault="00000000">
            <w:pPr>
              <w:bidi/>
              <w:spacing w:before="10" w:after="10"/>
            </w:pPr>
            <w:r>
              <w:rPr>
                <w:rFonts w:ascii="Arial" w:eastAsia="Arial" w:hAnsi="Arial"/>
                <w:sz w:val="18"/>
                <w:rtl/>
              </w:rPr>
              <w:t>المنتج الدوائي البحثي</w:t>
            </w:r>
          </w:p>
        </w:tc>
      </w:tr>
      <w:tr w:rsidR="00CD5946" w14:paraId="0DAD88F3"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0D612B32" w14:textId="77777777" w:rsidR="00CD5946" w:rsidRDefault="00000000">
            <w:pPr>
              <w:spacing w:before="10" w:after="10"/>
            </w:pPr>
            <w:r>
              <w:rPr>
                <w:rFonts w:ascii="Calibri" w:eastAsia="Calibri" w:hAnsi="Calibri"/>
                <w:b/>
                <w:color w:val="0E5A50"/>
                <w:sz w:val="18"/>
              </w:rPr>
              <w:t>IPC</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63C2C626" w14:textId="77777777" w:rsidR="00CD5946" w:rsidRDefault="00000000">
            <w:pPr>
              <w:spacing w:before="10" w:after="10"/>
            </w:pPr>
            <w:r>
              <w:rPr>
                <w:rFonts w:ascii="Calibri" w:eastAsia="Calibri" w:hAnsi="Calibri"/>
                <w:sz w:val="18"/>
              </w:rPr>
              <w:t>In-Process Control</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4238875B" w14:textId="77777777" w:rsidR="00CD5946" w:rsidRDefault="00000000">
            <w:pPr>
              <w:bidi/>
              <w:spacing w:before="10" w:after="10"/>
            </w:pPr>
            <w:r>
              <w:rPr>
                <w:rFonts w:ascii="Arial" w:eastAsia="Arial" w:hAnsi="Arial"/>
                <w:sz w:val="18"/>
                <w:rtl/>
              </w:rPr>
              <w:t>الضبط أثناء التشغيل</w:t>
            </w:r>
          </w:p>
        </w:tc>
      </w:tr>
      <w:tr w:rsidR="00CD5946" w14:paraId="793992A2" w14:textId="77777777">
        <w:trPr>
          <w:jc w:val="center"/>
        </w:trPr>
        <w:tc>
          <w:tcPr>
            <w:tcW w:w="1500" w:type="dxa"/>
            <w:tcBorders>
              <w:top w:val="single" w:sz="4" w:space="0" w:color="D8E0DD"/>
              <w:left w:val="single" w:sz="4" w:space="0" w:color="D8E0DD"/>
              <w:bottom w:val="single" w:sz="4" w:space="0" w:color="D8E0DD"/>
              <w:right w:val="single" w:sz="4" w:space="0" w:color="D8E0DD"/>
            </w:tcBorders>
            <w:vAlign w:val="center"/>
          </w:tcPr>
          <w:p w14:paraId="556B926A" w14:textId="77777777" w:rsidR="00CD5946" w:rsidRDefault="00000000">
            <w:pPr>
              <w:spacing w:before="10" w:after="10"/>
            </w:pPr>
            <w:r>
              <w:rPr>
                <w:rFonts w:ascii="Calibri" w:eastAsia="Calibri" w:hAnsi="Calibri"/>
                <w:b/>
                <w:color w:val="0E5A50"/>
                <w:sz w:val="18"/>
              </w:rPr>
              <w:t>JFDA / SFDA</w:t>
            </w:r>
          </w:p>
        </w:tc>
        <w:tc>
          <w:tcPr>
            <w:tcW w:w="4260" w:type="dxa"/>
            <w:tcBorders>
              <w:top w:val="single" w:sz="4" w:space="0" w:color="D8E0DD"/>
              <w:left w:val="single" w:sz="4" w:space="0" w:color="D8E0DD"/>
              <w:bottom w:val="single" w:sz="4" w:space="0" w:color="D8E0DD"/>
              <w:right w:val="single" w:sz="4" w:space="0" w:color="D8E0DD"/>
            </w:tcBorders>
            <w:vAlign w:val="center"/>
          </w:tcPr>
          <w:p w14:paraId="1ADCD8EF" w14:textId="77777777" w:rsidR="00CD5946" w:rsidRDefault="00000000">
            <w:pPr>
              <w:spacing w:before="10" w:after="10"/>
            </w:pPr>
            <w:r>
              <w:rPr>
                <w:rFonts w:ascii="Calibri" w:eastAsia="Calibri" w:hAnsi="Calibri"/>
                <w:sz w:val="18"/>
              </w:rPr>
              <w:t>Jordan Food and Drug Administration / Saudi Food and Drug Authority</w:t>
            </w:r>
          </w:p>
        </w:tc>
        <w:tc>
          <w:tcPr>
            <w:tcW w:w="3600" w:type="dxa"/>
            <w:tcBorders>
              <w:top w:val="single" w:sz="4" w:space="0" w:color="D8E0DD"/>
              <w:left w:val="single" w:sz="4" w:space="0" w:color="D8E0DD"/>
              <w:bottom w:val="single" w:sz="4" w:space="0" w:color="D8E0DD"/>
              <w:right w:val="single" w:sz="4" w:space="0" w:color="D8E0DD"/>
            </w:tcBorders>
            <w:vAlign w:val="center"/>
          </w:tcPr>
          <w:p w14:paraId="257AF5EF" w14:textId="77777777" w:rsidR="00CD5946" w:rsidRDefault="00000000">
            <w:pPr>
              <w:bidi/>
              <w:spacing w:before="10" w:after="10"/>
            </w:pPr>
            <w:r>
              <w:rPr>
                <w:rFonts w:ascii="Arial" w:eastAsia="Arial" w:hAnsi="Arial"/>
                <w:sz w:val="18"/>
                <w:rtl/>
              </w:rPr>
              <w:t>المؤسسة العامة للغذاء والدواء (الأردن) / الهيئة العامة للغذاء والدواء (السعودية)</w:t>
            </w:r>
          </w:p>
        </w:tc>
      </w:tr>
      <w:tr w:rsidR="00CD5946" w14:paraId="60E1DD3E"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30BB55A0" w14:textId="77777777" w:rsidR="00CD5946" w:rsidRDefault="00000000">
            <w:pPr>
              <w:spacing w:before="10" w:after="10"/>
            </w:pPr>
            <w:r>
              <w:rPr>
                <w:rFonts w:ascii="Calibri" w:eastAsia="Calibri" w:hAnsi="Calibri"/>
                <w:b/>
                <w:color w:val="0E5A50"/>
                <w:sz w:val="18"/>
              </w:rPr>
              <w:t>NMRA</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1DD0AFDF" w14:textId="77777777" w:rsidR="00CD5946" w:rsidRDefault="00000000">
            <w:pPr>
              <w:spacing w:before="10" w:after="10"/>
            </w:pPr>
            <w:r>
              <w:rPr>
                <w:rFonts w:ascii="Calibri" w:eastAsia="Calibri" w:hAnsi="Calibri"/>
                <w:sz w:val="18"/>
              </w:rPr>
              <w:t>National Medicines Regulatory Authority</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69F7C232" w14:textId="77777777" w:rsidR="00CD5946" w:rsidRDefault="00000000">
            <w:pPr>
              <w:bidi/>
              <w:spacing w:before="10" w:after="10"/>
            </w:pPr>
            <w:r>
              <w:rPr>
                <w:rFonts w:ascii="Arial" w:eastAsia="Arial" w:hAnsi="Arial"/>
                <w:sz w:val="18"/>
                <w:rtl/>
              </w:rPr>
              <w:t>الهيئة الوطنية لتنظيم الدواء</w:t>
            </w:r>
          </w:p>
        </w:tc>
      </w:tr>
      <w:tr w:rsidR="00CD5946" w14:paraId="4F0D5A03" w14:textId="77777777">
        <w:trPr>
          <w:jc w:val="center"/>
        </w:trPr>
        <w:tc>
          <w:tcPr>
            <w:tcW w:w="1500" w:type="dxa"/>
            <w:tcBorders>
              <w:top w:val="single" w:sz="4" w:space="0" w:color="D8E0DD"/>
              <w:left w:val="single" w:sz="4" w:space="0" w:color="D8E0DD"/>
              <w:bottom w:val="single" w:sz="4" w:space="0" w:color="D8E0DD"/>
              <w:right w:val="single" w:sz="4" w:space="0" w:color="D8E0DD"/>
            </w:tcBorders>
            <w:vAlign w:val="center"/>
          </w:tcPr>
          <w:p w14:paraId="53F16EA3" w14:textId="77777777" w:rsidR="00CD5946" w:rsidRDefault="00000000">
            <w:pPr>
              <w:spacing w:before="10" w:after="10"/>
            </w:pPr>
            <w:r>
              <w:rPr>
                <w:rFonts w:ascii="Calibri" w:eastAsia="Calibri" w:hAnsi="Calibri"/>
                <w:b/>
                <w:color w:val="0E5A50"/>
                <w:sz w:val="18"/>
              </w:rPr>
              <w:t>OOS / OOT</w:t>
            </w:r>
          </w:p>
        </w:tc>
        <w:tc>
          <w:tcPr>
            <w:tcW w:w="4260" w:type="dxa"/>
            <w:tcBorders>
              <w:top w:val="single" w:sz="4" w:space="0" w:color="D8E0DD"/>
              <w:left w:val="single" w:sz="4" w:space="0" w:color="D8E0DD"/>
              <w:bottom w:val="single" w:sz="4" w:space="0" w:color="D8E0DD"/>
              <w:right w:val="single" w:sz="4" w:space="0" w:color="D8E0DD"/>
            </w:tcBorders>
            <w:vAlign w:val="center"/>
          </w:tcPr>
          <w:p w14:paraId="702E3841" w14:textId="77777777" w:rsidR="00CD5946" w:rsidRDefault="00000000">
            <w:pPr>
              <w:spacing w:before="10" w:after="10"/>
            </w:pPr>
            <w:r>
              <w:rPr>
                <w:rFonts w:ascii="Calibri" w:eastAsia="Calibri" w:hAnsi="Calibri"/>
                <w:sz w:val="18"/>
              </w:rPr>
              <w:t>Out-of-Specification / Out-of-Trend</w:t>
            </w:r>
          </w:p>
        </w:tc>
        <w:tc>
          <w:tcPr>
            <w:tcW w:w="3600" w:type="dxa"/>
            <w:tcBorders>
              <w:top w:val="single" w:sz="4" w:space="0" w:color="D8E0DD"/>
              <w:left w:val="single" w:sz="4" w:space="0" w:color="D8E0DD"/>
              <w:bottom w:val="single" w:sz="4" w:space="0" w:color="D8E0DD"/>
              <w:right w:val="single" w:sz="4" w:space="0" w:color="D8E0DD"/>
            </w:tcBorders>
            <w:vAlign w:val="center"/>
          </w:tcPr>
          <w:p w14:paraId="38311C09" w14:textId="77777777" w:rsidR="00CD5946" w:rsidRDefault="00000000">
            <w:pPr>
              <w:bidi/>
              <w:spacing w:before="10" w:after="10"/>
            </w:pPr>
            <w:r>
              <w:rPr>
                <w:rFonts w:ascii="Arial" w:eastAsia="Arial" w:hAnsi="Arial"/>
                <w:sz w:val="18"/>
                <w:rtl/>
              </w:rPr>
              <w:t>مخالف للمواصفات / خارج عن الاتجاه</w:t>
            </w:r>
          </w:p>
        </w:tc>
      </w:tr>
      <w:tr w:rsidR="00CD5946" w14:paraId="5A4A0377"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4E430FA3" w14:textId="77777777" w:rsidR="00CD5946" w:rsidRDefault="00000000">
            <w:pPr>
              <w:spacing w:before="10" w:after="10"/>
            </w:pPr>
            <w:r>
              <w:rPr>
                <w:rFonts w:ascii="Calibri" w:eastAsia="Calibri" w:hAnsi="Calibri"/>
                <w:b/>
                <w:color w:val="0E5A50"/>
                <w:sz w:val="18"/>
              </w:rPr>
              <w:t>PDE</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7DBBC54A" w14:textId="77777777" w:rsidR="00CD5946" w:rsidRDefault="00000000">
            <w:pPr>
              <w:spacing w:before="10" w:after="10"/>
            </w:pPr>
            <w:r>
              <w:rPr>
                <w:rFonts w:ascii="Calibri" w:eastAsia="Calibri" w:hAnsi="Calibri"/>
                <w:sz w:val="18"/>
              </w:rPr>
              <w:t>Permitted Daily Exposure</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278CA95C" w14:textId="77777777" w:rsidR="00CD5946" w:rsidRDefault="00000000">
            <w:pPr>
              <w:bidi/>
              <w:spacing w:before="10" w:after="10"/>
            </w:pPr>
            <w:r>
              <w:rPr>
                <w:rFonts w:ascii="Arial" w:eastAsia="Arial" w:hAnsi="Arial"/>
                <w:sz w:val="18"/>
                <w:rtl/>
              </w:rPr>
              <w:t>التعرّض اليومي المسموح</w:t>
            </w:r>
          </w:p>
        </w:tc>
      </w:tr>
      <w:tr w:rsidR="00CD5946" w14:paraId="5A4A0377"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4E430FA3" w14:textId="77777777" w:rsidR="00CD5946" w:rsidRDefault="00000000">
            <w:pPr>
              <w:spacing w:before="10" w:after="10"/>
            </w:pPr>
            <w:r>
              <w:rPr>
                <w:rFonts w:ascii="Calibri" w:eastAsia="Calibri" w:hAnsi="Calibri"/>
                <w:b/>
                <w:color w:val="0E5A50"/>
                <w:sz w:val="18"/>
              </w:rPr>
              <w:t>APS</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7DBBC54A" w14:textId="77777777" w:rsidR="00CD5946" w:rsidRDefault="00000000">
            <w:pPr>
              <w:spacing w:before="10" w:after="10"/>
            </w:pPr>
            <w:r>
              <w:rPr>
                <w:rFonts w:ascii="Calibri" w:eastAsia="Calibri" w:hAnsi="Calibri"/>
                <w:sz w:val="18"/>
              </w:rPr>
              <w:t>Aseptic Process Simulation (media fill)</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278CA95C" w14:textId="77777777" w:rsidR="00CD5946" w:rsidRDefault="00000000">
            <w:pPr>
              <w:bidi/>
              <w:spacing w:before="10" w:after="10"/>
            </w:pPr>
            <w:r>
              <w:rPr>
                <w:rFonts w:ascii="Arial" w:eastAsia="Arial" w:hAnsi="Arial"/>
                <w:sz w:val="18"/>
                <w:rtl/>
              </w:rPr>
              <w:t>محاكاة العملية العقيمة (التعبئة بالوسط)</w:t>
            </w:r>
          </w:p>
        </w:tc>
      </w:tr>
      <w:tr w:rsidR="00CD5946" w14:paraId="5A4A0377"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4E430FA3" w14:textId="77777777" w:rsidR="00CD5946" w:rsidRDefault="00000000">
            <w:pPr>
              <w:spacing w:before="10" w:after="10"/>
            </w:pPr>
            <w:r>
              <w:rPr>
                <w:rFonts w:ascii="Calibri" w:eastAsia="Calibri" w:hAnsi="Calibri"/>
                <w:b/>
                <w:color w:val="0E5A50"/>
                <w:sz w:val="18"/>
              </w:rPr>
              <w:t>CCI(T)</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7DBBC54A" w14:textId="77777777" w:rsidR="00CD5946" w:rsidRDefault="00000000">
            <w:pPr>
              <w:spacing w:before="10" w:after="10"/>
            </w:pPr>
            <w:r>
              <w:rPr>
                <w:rFonts w:ascii="Calibri" w:eastAsia="Calibri" w:hAnsi="Calibri"/>
                <w:sz w:val="18"/>
              </w:rPr>
              <w:t>Container-Closure Integrity (Testing)</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278CA95C" w14:textId="77777777" w:rsidR="00CD5946" w:rsidRDefault="00000000">
            <w:pPr>
              <w:bidi/>
              <w:spacing w:before="10" w:after="10"/>
            </w:pPr>
            <w:r>
              <w:rPr>
                <w:rFonts w:ascii="Arial" w:eastAsia="Arial" w:hAnsi="Arial"/>
                <w:sz w:val="18"/>
                <w:rtl/>
              </w:rPr>
              <w:t>سلامة نظام العبوة والإغلاق واختبارها</w:t>
            </w:r>
          </w:p>
        </w:tc>
      </w:tr>
      <w:tr w:rsidR="00CD5946" w14:paraId="5A4A0377"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4E430FA3" w14:textId="77777777" w:rsidR="00CD5946" w:rsidRDefault="00000000">
            <w:pPr>
              <w:spacing w:before="10" w:after="10"/>
            </w:pPr>
            <w:r>
              <w:rPr>
                <w:rFonts w:ascii="Calibri" w:eastAsia="Calibri" w:hAnsi="Calibri"/>
                <w:b/>
                <w:color w:val="0E5A50"/>
                <w:sz w:val="18"/>
              </w:rPr>
              <w:t>MACO</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7DBBC54A" w14:textId="77777777" w:rsidR="00CD5946" w:rsidRDefault="00000000">
            <w:pPr>
              <w:spacing w:before="10" w:after="10"/>
            </w:pPr>
            <w:r>
              <w:rPr>
                <w:rFonts w:ascii="Calibri" w:eastAsia="Calibri" w:hAnsi="Calibri"/>
                <w:sz w:val="18"/>
              </w:rPr>
              <w:t>Maximum Allowable Carry-Over (cleaning validation)</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278CA95C" w14:textId="77777777" w:rsidR="00CD5946" w:rsidRDefault="00000000">
            <w:pPr>
              <w:bidi/>
              <w:spacing w:before="10" w:after="10"/>
            </w:pPr>
            <w:r>
              <w:rPr>
                <w:rFonts w:ascii="Arial" w:eastAsia="Arial" w:hAnsi="Arial"/>
                <w:sz w:val="18"/>
                <w:rtl/>
              </w:rPr>
              <w:t>أقصى محمول متبقٍّ مسموح في تحقّق التنظيف</w:t>
            </w:r>
          </w:p>
        </w:tc>
      </w:tr>
      <w:tr w:rsidR="00CD5946" w14:paraId="5A4A0377"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4E430FA3" w14:textId="77777777" w:rsidR="00CD5946" w:rsidRDefault="00000000">
            <w:pPr>
              <w:spacing w:before="10" w:after="10"/>
            </w:pPr>
            <w:r>
              <w:rPr>
                <w:rFonts w:ascii="Calibri" w:eastAsia="Calibri" w:hAnsi="Calibri"/>
                <w:b/>
                <w:color w:val="0E5A50"/>
                <w:sz w:val="18"/>
              </w:rPr>
              <w:t>TAMC / TYMC</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7DBBC54A" w14:textId="77777777" w:rsidR="00CD5946" w:rsidRDefault="00000000">
            <w:pPr>
              <w:spacing w:before="10" w:after="10"/>
            </w:pPr>
            <w:r>
              <w:rPr>
                <w:rFonts w:ascii="Calibri" w:eastAsia="Calibri" w:hAnsi="Calibri"/>
                <w:sz w:val="18"/>
              </w:rPr>
              <w:t>Total Aerobic Microbial / Total Yeasts-and-Moulds Count</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278CA95C" w14:textId="77777777" w:rsidR="00CD5946" w:rsidRDefault="00000000">
            <w:pPr>
              <w:bidi/>
              <w:spacing w:before="10" w:after="10"/>
            </w:pPr>
            <w:r>
              <w:rPr>
                <w:rFonts w:ascii="Arial" w:eastAsia="Arial" w:hAnsi="Arial"/>
                <w:sz w:val="18"/>
                <w:rtl/>
              </w:rPr>
              <w:t>العدّ الميكروبي الهوائي الكلي / عدّ الخمائر والأعفان</w:t>
            </w:r>
          </w:p>
        </w:tc>
      </w:tr>
      <w:tr w:rsidR="00CD5946" w14:paraId="5A4A0377"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4E430FA3" w14:textId="77777777" w:rsidR="00CD5946" w:rsidRDefault="00000000">
            <w:pPr>
              <w:spacing w:before="10" w:after="10"/>
            </w:pPr>
            <w:r>
              <w:rPr>
                <w:rFonts w:ascii="Calibri" w:eastAsia="Calibri" w:hAnsi="Calibri"/>
                <w:b/>
                <w:color w:val="0E5A50"/>
                <w:sz w:val="18"/>
              </w:rPr>
              <w:t>LOQ</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7DBBC54A" w14:textId="77777777" w:rsidR="00CD5946" w:rsidRDefault="00000000">
            <w:pPr>
              <w:spacing w:before="10" w:after="10"/>
            </w:pPr>
            <w:r>
              <w:rPr>
                <w:rFonts w:ascii="Calibri" w:eastAsia="Calibri" w:hAnsi="Calibri"/>
                <w:sz w:val="18"/>
              </w:rPr>
              <w:t>Limit of Quantitation</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278CA95C" w14:textId="77777777" w:rsidR="00CD5946" w:rsidRDefault="00000000">
            <w:pPr>
              <w:bidi/>
              <w:spacing w:before="10" w:after="10"/>
            </w:pPr>
            <w:r>
              <w:rPr>
                <w:rFonts w:ascii="Arial" w:eastAsia="Arial" w:hAnsi="Arial"/>
                <w:sz w:val="18"/>
                <w:rtl/>
              </w:rPr>
              <w:t>حدّ التقدير الكمّي</w:t>
            </w:r>
          </w:p>
        </w:tc>
      </w:tr>
      <w:tr w:rsidR="00CD5946" w14:paraId="69C22AC7" w14:textId="77777777">
        <w:trPr>
          <w:jc w:val="center"/>
        </w:trPr>
        <w:tc>
          <w:tcPr>
            <w:tcW w:w="1500" w:type="dxa"/>
            <w:tcBorders>
              <w:top w:val="single" w:sz="4" w:space="0" w:color="D8E0DD"/>
              <w:left w:val="single" w:sz="4" w:space="0" w:color="D8E0DD"/>
              <w:bottom w:val="single" w:sz="4" w:space="0" w:color="D8E0DD"/>
              <w:right w:val="single" w:sz="4" w:space="0" w:color="D8E0DD"/>
            </w:tcBorders>
            <w:vAlign w:val="center"/>
          </w:tcPr>
          <w:p w14:paraId="6473CC49" w14:textId="77777777" w:rsidR="00CD5946" w:rsidRDefault="00000000">
            <w:pPr>
              <w:spacing w:before="10" w:after="10"/>
            </w:pPr>
            <w:r>
              <w:rPr>
                <w:rFonts w:ascii="Calibri" w:eastAsia="Calibri" w:hAnsi="Calibri"/>
                <w:b/>
                <w:color w:val="0E5A50"/>
                <w:sz w:val="18"/>
              </w:rPr>
              <w:t>PIC/S</w:t>
            </w:r>
          </w:p>
        </w:tc>
        <w:tc>
          <w:tcPr>
            <w:tcW w:w="4260" w:type="dxa"/>
            <w:tcBorders>
              <w:top w:val="single" w:sz="4" w:space="0" w:color="D8E0DD"/>
              <w:left w:val="single" w:sz="4" w:space="0" w:color="D8E0DD"/>
              <w:bottom w:val="single" w:sz="4" w:space="0" w:color="D8E0DD"/>
              <w:right w:val="single" w:sz="4" w:space="0" w:color="D8E0DD"/>
            </w:tcBorders>
            <w:vAlign w:val="center"/>
          </w:tcPr>
          <w:p w14:paraId="4971077A" w14:textId="77777777" w:rsidR="00CD5946" w:rsidRDefault="00000000">
            <w:pPr>
              <w:spacing w:before="10" w:after="10"/>
            </w:pPr>
            <w:r>
              <w:rPr>
                <w:rFonts w:ascii="Calibri" w:eastAsia="Calibri" w:hAnsi="Calibri"/>
                <w:sz w:val="18"/>
              </w:rPr>
              <w:t>Pharmaceutical Inspection Co-operation Scheme</w:t>
            </w:r>
          </w:p>
        </w:tc>
        <w:tc>
          <w:tcPr>
            <w:tcW w:w="3600" w:type="dxa"/>
            <w:tcBorders>
              <w:top w:val="single" w:sz="4" w:space="0" w:color="D8E0DD"/>
              <w:left w:val="single" w:sz="4" w:space="0" w:color="D8E0DD"/>
              <w:bottom w:val="single" w:sz="4" w:space="0" w:color="D8E0DD"/>
              <w:right w:val="single" w:sz="4" w:space="0" w:color="D8E0DD"/>
            </w:tcBorders>
            <w:vAlign w:val="center"/>
          </w:tcPr>
          <w:p w14:paraId="1038AFEF" w14:textId="77777777" w:rsidR="00CD5946" w:rsidRDefault="00000000">
            <w:pPr>
              <w:bidi/>
              <w:spacing w:before="10" w:after="10"/>
            </w:pPr>
            <w:r>
              <w:rPr>
                <w:rFonts w:ascii="Arial" w:eastAsia="Arial" w:hAnsi="Arial"/>
                <w:sz w:val="18"/>
                <w:rtl/>
              </w:rPr>
              <w:t>مخطّط التعاون الدولي للتفتيش الصيدلاني</w:t>
            </w:r>
          </w:p>
        </w:tc>
      </w:tr>
      <w:tr w:rsidR="00CD5946" w14:paraId="12A40B81"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58F01505" w14:textId="77777777" w:rsidR="00CD5946" w:rsidRDefault="00000000">
            <w:pPr>
              <w:spacing w:before="10" w:after="10"/>
            </w:pPr>
            <w:r>
              <w:rPr>
                <w:rFonts w:ascii="Calibri" w:eastAsia="Calibri" w:hAnsi="Calibri"/>
                <w:b/>
                <w:color w:val="0E5A50"/>
                <w:sz w:val="18"/>
              </w:rPr>
              <w:t>PQS</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0D633CE8" w14:textId="77777777" w:rsidR="00CD5946" w:rsidRDefault="00000000">
            <w:pPr>
              <w:spacing w:before="10" w:after="10"/>
            </w:pPr>
            <w:r>
              <w:rPr>
                <w:rFonts w:ascii="Calibri" w:eastAsia="Calibri" w:hAnsi="Calibri"/>
                <w:sz w:val="18"/>
              </w:rPr>
              <w:t>Pharmaceutical Quality System</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33244CD3" w14:textId="77777777" w:rsidR="00CD5946" w:rsidRDefault="00000000">
            <w:pPr>
              <w:bidi/>
              <w:spacing w:before="10" w:after="10"/>
            </w:pPr>
            <w:r>
              <w:rPr>
                <w:rFonts w:ascii="Arial" w:eastAsia="Arial" w:hAnsi="Arial"/>
                <w:sz w:val="18"/>
                <w:rtl/>
              </w:rPr>
              <w:t>نظام الجودة الصيدلاني</w:t>
            </w:r>
          </w:p>
        </w:tc>
      </w:tr>
      <w:tr w:rsidR="00CD5946" w14:paraId="5FE2C749" w14:textId="77777777">
        <w:trPr>
          <w:jc w:val="center"/>
        </w:trPr>
        <w:tc>
          <w:tcPr>
            <w:tcW w:w="1500" w:type="dxa"/>
            <w:tcBorders>
              <w:top w:val="single" w:sz="4" w:space="0" w:color="D8E0DD"/>
              <w:left w:val="single" w:sz="4" w:space="0" w:color="D8E0DD"/>
              <w:bottom w:val="single" w:sz="4" w:space="0" w:color="D8E0DD"/>
              <w:right w:val="single" w:sz="4" w:space="0" w:color="D8E0DD"/>
            </w:tcBorders>
            <w:vAlign w:val="center"/>
          </w:tcPr>
          <w:p w14:paraId="3A5A06F7" w14:textId="77777777" w:rsidR="00CD5946" w:rsidRDefault="00000000">
            <w:pPr>
              <w:spacing w:before="10" w:after="10"/>
            </w:pPr>
            <w:r>
              <w:rPr>
                <w:rFonts w:ascii="Calibri" w:eastAsia="Calibri" w:hAnsi="Calibri"/>
                <w:b/>
                <w:color w:val="0E5A50"/>
                <w:sz w:val="18"/>
              </w:rPr>
              <w:t>PW / WFI</w:t>
            </w:r>
          </w:p>
        </w:tc>
        <w:tc>
          <w:tcPr>
            <w:tcW w:w="4260" w:type="dxa"/>
            <w:tcBorders>
              <w:top w:val="single" w:sz="4" w:space="0" w:color="D8E0DD"/>
              <w:left w:val="single" w:sz="4" w:space="0" w:color="D8E0DD"/>
              <w:bottom w:val="single" w:sz="4" w:space="0" w:color="D8E0DD"/>
              <w:right w:val="single" w:sz="4" w:space="0" w:color="D8E0DD"/>
            </w:tcBorders>
            <w:vAlign w:val="center"/>
          </w:tcPr>
          <w:p w14:paraId="2ACA06ED" w14:textId="77777777" w:rsidR="00CD5946" w:rsidRDefault="00000000">
            <w:pPr>
              <w:spacing w:before="10" w:after="10"/>
            </w:pPr>
            <w:r>
              <w:rPr>
                <w:rFonts w:ascii="Calibri" w:eastAsia="Calibri" w:hAnsi="Calibri"/>
                <w:sz w:val="18"/>
              </w:rPr>
              <w:t>Purified Water / Water for Injection</w:t>
            </w:r>
          </w:p>
        </w:tc>
        <w:tc>
          <w:tcPr>
            <w:tcW w:w="3600" w:type="dxa"/>
            <w:tcBorders>
              <w:top w:val="single" w:sz="4" w:space="0" w:color="D8E0DD"/>
              <w:left w:val="single" w:sz="4" w:space="0" w:color="D8E0DD"/>
              <w:bottom w:val="single" w:sz="4" w:space="0" w:color="D8E0DD"/>
              <w:right w:val="single" w:sz="4" w:space="0" w:color="D8E0DD"/>
            </w:tcBorders>
            <w:vAlign w:val="center"/>
          </w:tcPr>
          <w:p w14:paraId="237879BB" w14:textId="77777777" w:rsidR="00CD5946" w:rsidRDefault="00000000">
            <w:pPr>
              <w:bidi/>
              <w:spacing w:before="10" w:after="10"/>
            </w:pPr>
            <w:r>
              <w:rPr>
                <w:rFonts w:ascii="Arial" w:eastAsia="Arial" w:hAnsi="Arial"/>
                <w:sz w:val="18"/>
                <w:rtl/>
              </w:rPr>
              <w:t>الماء النقي / ماء الحقن</w:t>
            </w:r>
          </w:p>
        </w:tc>
      </w:tr>
      <w:tr w:rsidR="00CD5946" w14:paraId="0EC83FEE"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1A0418E2" w14:textId="77777777" w:rsidR="00CD5946" w:rsidRDefault="00000000">
            <w:pPr>
              <w:spacing w:before="10" w:after="10"/>
            </w:pPr>
            <w:r>
              <w:rPr>
                <w:rFonts w:ascii="Calibri" w:eastAsia="Calibri" w:hAnsi="Calibri"/>
                <w:b/>
                <w:color w:val="0E5A50"/>
                <w:sz w:val="18"/>
              </w:rPr>
              <w:t>QA / QC</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2A3B5604" w14:textId="77777777" w:rsidR="00CD5946" w:rsidRDefault="00000000">
            <w:pPr>
              <w:spacing w:before="10" w:after="10"/>
            </w:pPr>
            <w:r>
              <w:rPr>
                <w:rFonts w:ascii="Calibri" w:eastAsia="Calibri" w:hAnsi="Calibri"/>
                <w:sz w:val="18"/>
              </w:rPr>
              <w:t>Quality Assurance / Quality Control</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415FAEF8" w14:textId="77777777" w:rsidR="00CD5946" w:rsidRDefault="00000000">
            <w:pPr>
              <w:bidi/>
              <w:spacing w:before="10" w:after="10"/>
            </w:pPr>
            <w:r>
              <w:rPr>
                <w:rFonts w:ascii="Arial" w:eastAsia="Arial" w:hAnsi="Arial"/>
                <w:sz w:val="18"/>
                <w:rtl/>
              </w:rPr>
              <w:t>توكيد الجودة / مراقبة الجودة</w:t>
            </w:r>
          </w:p>
        </w:tc>
      </w:tr>
      <w:tr w:rsidR="00CD5946" w14:paraId="70BE1156" w14:textId="77777777">
        <w:trPr>
          <w:jc w:val="center"/>
        </w:trPr>
        <w:tc>
          <w:tcPr>
            <w:tcW w:w="1500" w:type="dxa"/>
            <w:tcBorders>
              <w:top w:val="single" w:sz="4" w:space="0" w:color="D8E0DD"/>
              <w:left w:val="single" w:sz="4" w:space="0" w:color="D8E0DD"/>
              <w:bottom w:val="single" w:sz="4" w:space="0" w:color="D8E0DD"/>
              <w:right w:val="single" w:sz="4" w:space="0" w:color="D8E0DD"/>
            </w:tcBorders>
            <w:vAlign w:val="center"/>
          </w:tcPr>
          <w:p w14:paraId="33494D27" w14:textId="77777777" w:rsidR="00CD5946" w:rsidRDefault="00000000">
            <w:pPr>
              <w:spacing w:before="10" w:after="10"/>
            </w:pPr>
            <w:r>
              <w:rPr>
                <w:rFonts w:ascii="Calibri" w:eastAsia="Calibri" w:hAnsi="Calibri"/>
                <w:b/>
                <w:color w:val="0E5A50"/>
                <w:sz w:val="18"/>
              </w:rPr>
              <w:t>QP</w:t>
            </w:r>
          </w:p>
        </w:tc>
        <w:tc>
          <w:tcPr>
            <w:tcW w:w="4260" w:type="dxa"/>
            <w:tcBorders>
              <w:top w:val="single" w:sz="4" w:space="0" w:color="D8E0DD"/>
              <w:left w:val="single" w:sz="4" w:space="0" w:color="D8E0DD"/>
              <w:bottom w:val="single" w:sz="4" w:space="0" w:color="D8E0DD"/>
              <w:right w:val="single" w:sz="4" w:space="0" w:color="D8E0DD"/>
            </w:tcBorders>
            <w:vAlign w:val="center"/>
          </w:tcPr>
          <w:p w14:paraId="1E2193C8" w14:textId="77777777" w:rsidR="00CD5946" w:rsidRDefault="00000000">
            <w:pPr>
              <w:spacing w:before="10" w:after="10"/>
            </w:pPr>
            <w:r>
              <w:rPr>
                <w:rFonts w:ascii="Calibri" w:eastAsia="Calibri" w:hAnsi="Calibri"/>
                <w:sz w:val="18"/>
              </w:rPr>
              <w:t>Authorised / Qualified Person</w:t>
            </w:r>
          </w:p>
        </w:tc>
        <w:tc>
          <w:tcPr>
            <w:tcW w:w="3600" w:type="dxa"/>
            <w:tcBorders>
              <w:top w:val="single" w:sz="4" w:space="0" w:color="D8E0DD"/>
              <w:left w:val="single" w:sz="4" w:space="0" w:color="D8E0DD"/>
              <w:bottom w:val="single" w:sz="4" w:space="0" w:color="D8E0DD"/>
              <w:right w:val="single" w:sz="4" w:space="0" w:color="D8E0DD"/>
            </w:tcBorders>
            <w:vAlign w:val="center"/>
          </w:tcPr>
          <w:p w14:paraId="092F257E" w14:textId="77777777" w:rsidR="00CD5946" w:rsidRDefault="00000000">
            <w:pPr>
              <w:bidi/>
              <w:spacing w:before="10" w:after="10"/>
            </w:pPr>
            <w:r>
              <w:rPr>
                <w:rFonts w:ascii="Arial" w:eastAsia="Arial" w:hAnsi="Arial"/>
                <w:sz w:val="18"/>
                <w:rtl/>
              </w:rPr>
              <w:t>الشخص المخوَّل/المؤهَّل</w:t>
            </w:r>
          </w:p>
        </w:tc>
      </w:tr>
      <w:tr w:rsidR="00CD5946" w14:paraId="39847F57"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46AC03C8" w14:textId="77777777" w:rsidR="00CD5946" w:rsidRDefault="00000000">
            <w:pPr>
              <w:spacing w:before="10" w:after="10"/>
            </w:pPr>
            <w:r>
              <w:rPr>
                <w:rFonts w:ascii="Calibri" w:eastAsia="Calibri" w:hAnsi="Calibri"/>
                <w:b/>
                <w:color w:val="0E5A50"/>
                <w:sz w:val="18"/>
              </w:rPr>
              <w:lastRenderedPageBreak/>
              <w:t>QRM</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5019ED17" w14:textId="77777777" w:rsidR="00CD5946" w:rsidRDefault="00000000">
            <w:pPr>
              <w:spacing w:before="10" w:after="10"/>
            </w:pPr>
            <w:r>
              <w:rPr>
                <w:rFonts w:ascii="Calibri" w:eastAsia="Calibri" w:hAnsi="Calibri"/>
                <w:sz w:val="18"/>
              </w:rPr>
              <w:t>Quality Risk Management</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0DA9789B" w14:textId="77777777" w:rsidR="00CD5946" w:rsidRDefault="00000000">
            <w:pPr>
              <w:bidi/>
              <w:spacing w:before="10" w:after="10"/>
            </w:pPr>
            <w:r>
              <w:rPr>
                <w:rFonts w:ascii="Arial" w:eastAsia="Arial" w:hAnsi="Arial"/>
                <w:sz w:val="18"/>
                <w:rtl/>
              </w:rPr>
              <w:t>إدارة مخاطر الجودة</w:t>
            </w:r>
          </w:p>
        </w:tc>
      </w:tr>
      <w:tr w:rsidR="00CD5946" w14:paraId="22F10D10" w14:textId="77777777">
        <w:trPr>
          <w:jc w:val="center"/>
        </w:trPr>
        <w:tc>
          <w:tcPr>
            <w:tcW w:w="1500" w:type="dxa"/>
            <w:tcBorders>
              <w:top w:val="single" w:sz="4" w:space="0" w:color="D8E0DD"/>
              <w:left w:val="single" w:sz="4" w:space="0" w:color="D8E0DD"/>
              <w:bottom w:val="single" w:sz="4" w:space="0" w:color="D8E0DD"/>
              <w:right w:val="single" w:sz="4" w:space="0" w:color="D8E0DD"/>
            </w:tcBorders>
            <w:vAlign w:val="center"/>
          </w:tcPr>
          <w:p w14:paraId="2B160CD1" w14:textId="77777777" w:rsidR="00CD5946" w:rsidRDefault="00000000">
            <w:pPr>
              <w:spacing w:before="10" w:after="10"/>
            </w:pPr>
            <w:r>
              <w:rPr>
                <w:rFonts w:ascii="Calibri" w:eastAsia="Calibri" w:hAnsi="Calibri"/>
                <w:b/>
                <w:color w:val="0E5A50"/>
                <w:sz w:val="18"/>
              </w:rPr>
              <w:t>RABS</w:t>
            </w:r>
          </w:p>
        </w:tc>
        <w:tc>
          <w:tcPr>
            <w:tcW w:w="4260" w:type="dxa"/>
            <w:tcBorders>
              <w:top w:val="single" w:sz="4" w:space="0" w:color="D8E0DD"/>
              <w:left w:val="single" w:sz="4" w:space="0" w:color="D8E0DD"/>
              <w:bottom w:val="single" w:sz="4" w:space="0" w:color="D8E0DD"/>
              <w:right w:val="single" w:sz="4" w:space="0" w:color="D8E0DD"/>
            </w:tcBorders>
            <w:vAlign w:val="center"/>
          </w:tcPr>
          <w:p w14:paraId="07F66A19" w14:textId="77777777" w:rsidR="00CD5946" w:rsidRDefault="00000000">
            <w:pPr>
              <w:spacing w:before="10" w:after="10"/>
            </w:pPr>
            <w:r>
              <w:rPr>
                <w:rFonts w:ascii="Calibri" w:eastAsia="Calibri" w:hAnsi="Calibri"/>
                <w:sz w:val="18"/>
              </w:rPr>
              <w:t>Restricted Access Barrier System</w:t>
            </w:r>
          </w:p>
        </w:tc>
        <w:tc>
          <w:tcPr>
            <w:tcW w:w="3600" w:type="dxa"/>
            <w:tcBorders>
              <w:top w:val="single" w:sz="4" w:space="0" w:color="D8E0DD"/>
              <w:left w:val="single" w:sz="4" w:space="0" w:color="D8E0DD"/>
              <w:bottom w:val="single" w:sz="4" w:space="0" w:color="D8E0DD"/>
              <w:right w:val="single" w:sz="4" w:space="0" w:color="D8E0DD"/>
            </w:tcBorders>
            <w:vAlign w:val="center"/>
          </w:tcPr>
          <w:p w14:paraId="1350EF17" w14:textId="77777777" w:rsidR="00CD5946" w:rsidRDefault="00000000">
            <w:pPr>
              <w:bidi/>
              <w:spacing w:before="10" w:after="10"/>
            </w:pPr>
            <w:r>
              <w:rPr>
                <w:rFonts w:ascii="Arial" w:eastAsia="Arial" w:hAnsi="Arial"/>
                <w:sz w:val="18"/>
                <w:rtl/>
              </w:rPr>
              <w:t>نظام الحاجز محدود الوصول</w:t>
            </w:r>
          </w:p>
        </w:tc>
      </w:tr>
      <w:tr w:rsidR="00CD5946" w14:paraId="15F04D39"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148EF223" w14:textId="77777777" w:rsidR="00CD5946" w:rsidRDefault="00000000">
            <w:pPr>
              <w:spacing w:before="10" w:after="10"/>
            </w:pPr>
            <w:r>
              <w:rPr>
                <w:rFonts w:ascii="Calibri" w:eastAsia="Calibri" w:hAnsi="Calibri"/>
                <w:b/>
                <w:color w:val="0E5A50"/>
                <w:sz w:val="18"/>
              </w:rPr>
              <w:t>RTRT</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4AEBDB97" w14:textId="77777777" w:rsidR="00CD5946" w:rsidRDefault="00000000">
            <w:pPr>
              <w:spacing w:before="10" w:after="10"/>
            </w:pPr>
            <w:r>
              <w:rPr>
                <w:rFonts w:ascii="Calibri" w:eastAsia="Calibri" w:hAnsi="Calibri"/>
                <w:sz w:val="18"/>
              </w:rPr>
              <w:t>Real-Time Release Testing</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55541682" w14:textId="77777777" w:rsidR="00CD5946" w:rsidRDefault="00000000">
            <w:pPr>
              <w:bidi/>
              <w:spacing w:before="10" w:after="10"/>
            </w:pPr>
            <w:r>
              <w:rPr>
                <w:rFonts w:ascii="Arial" w:eastAsia="Arial" w:hAnsi="Arial"/>
                <w:sz w:val="18"/>
                <w:rtl/>
              </w:rPr>
              <w:t>اختبار الإفراج الآني</w:t>
            </w:r>
          </w:p>
        </w:tc>
      </w:tr>
      <w:tr w:rsidR="00CD5946" w14:paraId="389257CC" w14:textId="77777777">
        <w:trPr>
          <w:jc w:val="center"/>
        </w:trPr>
        <w:tc>
          <w:tcPr>
            <w:tcW w:w="1500" w:type="dxa"/>
            <w:tcBorders>
              <w:top w:val="single" w:sz="4" w:space="0" w:color="D8E0DD"/>
              <w:left w:val="single" w:sz="4" w:space="0" w:color="D8E0DD"/>
              <w:bottom w:val="single" w:sz="4" w:space="0" w:color="D8E0DD"/>
              <w:right w:val="single" w:sz="4" w:space="0" w:color="D8E0DD"/>
            </w:tcBorders>
            <w:vAlign w:val="center"/>
          </w:tcPr>
          <w:p w14:paraId="3ECF4EEF" w14:textId="77777777" w:rsidR="00CD5946" w:rsidRDefault="00000000">
            <w:pPr>
              <w:spacing w:before="10" w:after="10"/>
            </w:pPr>
            <w:r>
              <w:rPr>
                <w:rFonts w:ascii="Calibri" w:eastAsia="Calibri" w:hAnsi="Calibri"/>
                <w:b/>
                <w:color w:val="0E5A50"/>
                <w:sz w:val="18"/>
              </w:rPr>
              <w:t>SAL</w:t>
            </w:r>
          </w:p>
        </w:tc>
        <w:tc>
          <w:tcPr>
            <w:tcW w:w="4260" w:type="dxa"/>
            <w:tcBorders>
              <w:top w:val="single" w:sz="4" w:space="0" w:color="D8E0DD"/>
              <w:left w:val="single" w:sz="4" w:space="0" w:color="D8E0DD"/>
              <w:bottom w:val="single" w:sz="4" w:space="0" w:color="D8E0DD"/>
              <w:right w:val="single" w:sz="4" w:space="0" w:color="D8E0DD"/>
            </w:tcBorders>
            <w:vAlign w:val="center"/>
          </w:tcPr>
          <w:p w14:paraId="32140EC0" w14:textId="77777777" w:rsidR="00CD5946" w:rsidRDefault="00000000">
            <w:pPr>
              <w:spacing w:before="10" w:after="10"/>
            </w:pPr>
            <w:r>
              <w:rPr>
                <w:rFonts w:ascii="Calibri" w:eastAsia="Calibri" w:hAnsi="Calibri"/>
                <w:sz w:val="18"/>
              </w:rPr>
              <w:t>Sterility Assurance Level</w:t>
            </w:r>
          </w:p>
        </w:tc>
        <w:tc>
          <w:tcPr>
            <w:tcW w:w="3600" w:type="dxa"/>
            <w:tcBorders>
              <w:top w:val="single" w:sz="4" w:space="0" w:color="D8E0DD"/>
              <w:left w:val="single" w:sz="4" w:space="0" w:color="D8E0DD"/>
              <w:bottom w:val="single" w:sz="4" w:space="0" w:color="D8E0DD"/>
              <w:right w:val="single" w:sz="4" w:space="0" w:color="D8E0DD"/>
            </w:tcBorders>
            <w:vAlign w:val="center"/>
          </w:tcPr>
          <w:p w14:paraId="4686B31E" w14:textId="77777777" w:rsidR="00CD5946" w:rsidRDefault="00000000">
            <w:pPr>
              <w:bidi/>
              <w:spacing w:before="10" w:after="10"/>
            </w:pPr>
            <w:r>
              <w:rPr>
                <w:rFonts w:ascii="Arial" w:eastAsia="Arial" w:hAnsi="Arial"/>
                <w:sz w:val="18"/>
                <w:rtl/>
              </w:rPr>
              <w:t>مستوى توكيد التعقيم</w:t>
            </w:r>
          </w:p>
        </w:tc>
      </w:tr>
      <w:tr w:rsidR="00CD5946" w14:paraId="03E055E4"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613EF50A" w14:textId="77777777" w:rsidR="00CD5946" w:rsidRDefault="00000000">
            <w:pPr>
              <w:spacing w:before="10" w:after="10"/>
            </w:pPr>
            <w:r>
              <w:rPr>
                <w:rFonts w:ascii="Calibri" w:eastAsia="Calibri" w:hAnsi="Calibri"/>
                <w:b/>
                <w:color w:val="0E5A50"/>
                <w:sz w:val="18"/>
              </w:rPr>
              <w:t>SMF</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474B68DC" w14:textId="77777777" w:rsidR="00CD5946" w:rsidRDefault="00000000">
            <w:pPr>
              <w:spacing w:before="10" w:after="10"/>
            </w:pPr>
            <w:r>
              <w:rPr>
                <w:rFonts w:ascii="Calibri" w:eastAsia="Calibri" w:hAnsi="Calibri"/>
                <w:sz w:val="18"/>
              </w:rPr>
              <w:t>Site Master File</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33028CCD" w14:textId="77777777" w:rsidR="00CD5946" w:rsidRDefault="00000000">
            <w:pPr>
              <w:bidi/>
              <w:spacing w:before="10" w:after="10"/>
            </w:pPr>
            <w:r>
              <w:rPr>
                <w:rFonts w:ascii="Arial" w:eastAsia="Arial" w:hAnsi="Arial"/>
                <w:sz w:val="18"/>
                <w:rtl/>
              </w:rPr>
              <w:t>الملفّ الرئيس للموقع</w:t>
            </w:r>
          </w:p>
        </w:tc>
      </w:tr>
      <w:tr w:rsidR="00CD5946" w14:paraId="181E4BB9" w14:textId="77777777">
        <w:trPr>
          <w:jc w:val="center"/>
        </w:trPr>
        <w:tc>
          <w:tcPr>
            <w:tcW w:w="1500" w:type="dxa"/>
            <w:tcBorders>
              <w:top w:val="single" w:sz="4" w:space="0" w:color="D8E0DD"/>
              <w:left w:val="single" w:sz="4" w:space="0" w:color="D8E0DD"/>
              <w:bottom w:val="single" w:sz="4" w:space="0" w:color="D8E0DD"/>
              <w:right w:val="single" w:sz="4" w:space="0" w:color="D8E0DD"/>
            </w:tcBorders>
            <w:vAlign w:val="center"/>
          </w:tcPr>
          <w:p w14:paraId="504BAEE5" w14:textId="77777777" w:rsidR="00CD5946" w:rsidRDefault="00000000">
            <w:pPr>
              <w:spacing w:before="10" w:after="10"/>
            </w:pPr>
            <w:r>
              <w:rPr>
                <w:rFonts w:ascii="Calibri" w:eastAsia="Calibri" w:hAnsi="Calibri"/>
                <w:b/>
                <w:color w:val="0E5A50"/>
                <w:sz w:val="18"/>
              </w:rPr>
              <w:t>SOP</w:t>
            </w:r>
          </w:p>
        </w:tc>
        <w:tc>
          <w:tcPr>
            <w:tcW w:w="4260" w:type="dxa"/>
            <w:tcBorders>
              <w:top w:val="single" w:sz="4" w:space="0" w:color="D8E0DD"/>
              <w:left w:val="single" w:sz="4" w:space="0" w:color="D8E0DD"/>
              <w:bottom w:val="single" w:sz="4" w:space="0" w:color="D8E0DD"/>
              <w:right w:val="single" w:sz="4" w:space="0" w:color="D8E0DD"/>
            </w:tcBorders>
            <w:vAlign w:val="center"/>
          </w:tcPr>
          <w:p w14:paraId="02816156" w14:textId="77777777" w:rsidR="00CD5946" w:rsidRDefault="00000000">
            <w:pPr>
              <w:spacing w:before="10" w:after="10"/>
            </w:pPr>
            <w:r>
              <w:rPr>
                <w:rFonts w:ascii="Calibri" w:eastAsia="Calibri" w:hAnsi="Calibri"/>
                <w:sz w:val="18"/>
              </w:rPr>
              <w:t>Standard Operating Procedure</w:t>
            </w:r>
          </w:p>
        </w:tc>
        <w:tc>
          <w:tcPr>
            <w:tcW w:w="3600" w:type="dxa"/>
            <w:tcBorders>
              <w:top w:val="single" w:sz="4" w:space="0" w:color="D8E0DD"/>
              <w:left w:val="single" w:sz="4" w:space="0" w:color="D8E0DD"/>
              <w:bottom w:val="single" w:sz="4" w:space="0" w:color="D8E0DD"/>
              <w:right w:val="single" w:sz="4" w:space="0" w:color="D8E0DD"/>
            </w:tcBorders>
            <w:vAlign w:val="center"/>
          </w:tcPr>
          <w:p w14:paraId="387FC110" w14:textId="77777777" w:rsidR="00CD5946" w:rsidRDefault="00000000">
            <w:pPr>
              <w:bidi/>
              <w:spacing w:before="10" w:after="10"/>
            </w:pPr>
            <w:r>
              <w:rPr>
                <w:rFonts w:ascii="Arial" w:eastAsia="Arial" w:hAnsi="Arial"/>
                <w:sz w:val="18"/>
                <w:rtl/>
              </w:rPr>
              <w:t>إجراء التشغيل القياسي</w:t>
            </w:r>
          </w:p>
        </w:tc>
      </w:tr>
      <w:tr w:rsidR="00CD5946" w14:paraId="334B30E5"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5D4BB892" w14:textId="77777777" w:rsidR="00CD5946" w:rsidRDefault="00000000">
            <w:pPr>
              <w:spacing w:before="10" w:after="10"/>
            </w:pPr>
            <w:r>
              <w:rPr>
                <w:rFonts w:ascii="Calibri" w:eastAsia="Calibri" w:hAnsi="Calibri"/>
                <w:b/>
                <w:color w:val="0E5A50"/>
                <w:sz w:val="18"/>
              </w:rPr>
              <w:t>TSE / BSE</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3CF49401" w14:textId="77777777" w:rsidR="00CD5946" w:rsidRDefault="00000000">
            <w:pPr>
              <w:spacing w:before="10" w:after="10"/>
            </w:pPr>
            <w:r>
              <w:rPr>
                <w:rFonts w:ascii="Calibri" w:eastAsia="Calibri" w:hAnsi="Calibri"/>
                <w:sz w:val="18"/>
              </w:rPr>
              <w:t>Transmissible / Bovine Spongiform Encephalopathy</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0DDEB179" w14:textId="77777777" w:rsidR="00CD5946" w:rsidRDefault="00000000">
            <w:pPr>
              <w:bidi/>
              <w:spacing w:before="10" w:after="10"/>
            </w:pPr>
            <w:r>
              <w:rPr>
                <w:rFonts w:ascii="Arial" w:eastAsia="Arial" w:hAnsi="Arial"/>
                <w:sz w:val="18"/>
                <w:rtl/>
              </w:rPr>
              <w:t>الاعتلال الدماغي الإسفنجي المعدي/البقري</w:t>
            </w:r>
          </w:p>
        </w:tc>
      </w:tr>
      <w:tr w:rsidR="00CD5946" w14:paraId="28287289" w14:textId="77777777">
        <w:trPr>
          <w:jc w:val="center"/>
        </w:trPr>
        <w:tc>
          <w:tcPr>
            <w:tcW w:w="1500" w:type="dxa"/>
            <w:tcBorders>
              <w:top w:val="single" w:sz="4" w:space="0" w:color="D8E0DD"/>
              <w:left w:val="single" w:sz="4" w:space="0" w:color="D8E0DD"/>
              <w:bottom w:val="single" w:sz="4" w:space="0" w:color="D8E0DD"/>
              <w:right w:val="single" w:sz="4" w:space="0" w:color="D8E0DD"/>
            </w:tcBorders>
            <w:vAlign w:val="center"/>
          </w:tcPr>
          <w:p w14:paraId="669F9509" w14:textId="77777777" w:rsidR="00CD5946" w:rsidRDefault="00000000">
            <w:pPr>
              <w:spacing w:before="10" w:after="10"/>
            </w:pPr>
            <w:r>
              <w:rPr>
                <w:rFonts w:ascii="Calibri" w:eastAsia="Calibri" w:hAnsi="Calibri"/>
                <w:b/>
                <w:color w:val="0E5A50"/>
                <w:sz w:val="18"/>
              </w:rPr>
              <w:t>URS / VMP</w:t>
            </w:r>
          </w:p>
        </w:tc>
        <w:tc>
          <w:tcPr>
            <w:tcW w:w="4260" w:type="dxa"/>
            <w:tcBorders>
              <w:top w:val="single" w:sz="4" w:space="0" w:color="D8E0DD"/>
              <w:left w:val="single" w:sz="4" w:space="0" w:color="D8E0DD"/>
              <w:bottom w:val="single" w:sz="4" w:space="0" w:color="D8E0DD"/>
              <w:right w:val="single" w:sz="4" w:space="0" w:color="D8E0DD"/>
            </w:tcBorders>
            <w:vAlign w:val="center"/>
          </w:tcPr>
          <w:p w14:paraId="13255DED" w14:textId="77777777" w:rsidR="00CD5946" w:rsidRDefault="00000000">
            <w:pPr>
              <w:spacing w:before="10" w:after="10"/>
            </w:pPr>
            <w:r>
              <w:rPr>
                <w:rFonts w:ascii="Calibri" w:eastAsia="Calibri" w:hAnsi="Calibri"/>
                <w:sz w:val="18"/>
              </w:rPr>
              <w:t>User Requirements Specification / Validation Master Plan</w:t>
            </w:r>
          </w:p>
        </w:tc>
        <w:tc>
          <w:tcPr>
            <w:tcW w:w="3600" w:type="dxa"/>
            <w:tcBorders>
              <w:top w:val="single" w:sz="4" w:space="0" w:color="D8E0DD"/>
              <w:left w:val="single" w:sz="4" w:space="0" w:color="D8E0DD"/>
              <w:bottom w:val="single" w:sz="4" w:space="0" w:color="D8E0DD"/>
              <w:right w:val="single" w:sz="4" w:space="0" w:color="D8E0DD"/>
            </w:tcBorders>
            <w:vAlign w:val="center"/>
          </w:tcPr>
          <w:p w14:paraId="1B9116E8" w14:textId="77777777" w:rsidR="00CD5946" w:rsidRDefault="00000000">
            <w:pPr>
              <w:bidi/>
              <w:spacing w:before="10" w:after="10"/>
            </w:pPr>
            <w:r>
              <w:rPr>
                <w:rFonts w:ascii="Arial" w:eastAsia="Arial" w:hAnsi="Arial"/>
                <w:sz w:val="18"/>
                <w:rtl/>
              </w:rPr>
              <w:t>مواصفات متطلّبات المستخدم / خطة التحقّق الرئيسة</w:t>
            </w:r>
          </w:p>
        </w:tc>
      </w:tr>
      <w:tr w:rsidR="00CD5946" w14:paraId="5CF95336" w14:textId="77777777">
        <w:trPr>
          <w:jc w:val="center"/>
        </w:trPr>
        <w:tc>
          <w:tcPr>
            <w:tcW w:w="15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32BECAB6" w14:textId="77777777" w:rsidR="00CD5946" w:rsidRDefault="00000000">
            <w:pPr>
              <w:spacing w:before="10" w:after="10"/>
            </w:pPr>
            <w:r>
              <w:rPr>
                <w:rFonts w:ascii="Calibri" w:eastAsia="Calibri" w:hAnsi="Calibri"/>
                <w:b/>
                <w:color w:val="0E5A50"/>
                <w:sz w:val="18"/>
              </w:rPr>
              <w:t>WHO</w:t>
            </w:r>
          </w:p>
        </w:tc>
        <w:tc>
          <w:tcPr>
            <w:tcW w:w="426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5C7372E5" w14:textId="77777777" w:rsidR="00CD5946" w:rsidRDefault="00000000">
            <w:pPr>
              <w:spacing w:before="10" w:after="10"/>
            </w:pPr>
            <w:r>
              <w:rPr>
                <w:rFonts w:ascii="Calibri" w:eastAsia="Calibri" w:hAnsi="Calibri"/>
                <w:sz w:val="18"/>
              </w:rPr>
              <w:t>World Health Organization</w:t>
            </w:r>
          </w:p>
        </w:tc>
        <w:tc>
          <w:tcPr>
            <w:tcW w:w="3600" w:type="dxa"/>
            <w:tcBorders>
              <w:top w:val="single" w:sz="4" w:space="0" w:color="D8E0DD"/>
              <w:left w:val="single" w:sz="4" w:space="0" w:color="D8E0DD"/>
              <w:bottom w:val="single" w:sz="4" w:space="0" w:color="D8E0DD"/>
              <w:right w:val="single" w:sz="4" w:space="0" w:color="D8E0DD"/>
            </w:tcBorders>
            <w:shd w:val="clear" w:color="auto" w:fill="EEF3F1"/>
            <w:vAlign w:val="center"/>
          </w:tcPr>
          <w:p w14:paraId="540B9FAB" w14:textId="77777777" w:rsidR="00CD5946" w:rsidRDefault="00000000">
            <w:pPr>
              <w:bidi/>
              <w:spacing w:before="10" w:after="10"/>
            </w:pPr>
            <w:r>
              <w:rPr>
                <w:rFonts w:ascii="Arial" w:eastAsia="Arial" w:hAnsi="Arial"/>
                <w:sz w:val="18"/>
                <w:rtl/>
              </w:rPr>
              <w:t>منظمة الصحة العالمية</w:t>
            </w:r>
          </w:p>
        </w:tc>
      </w:tr>
    </w:tbl>
    <w:p w14:paraId="63FA34A1" w14:textId="77777777" w:rsidR="00CD5946" w:rsidRDefault="00000000">
      <w:pPr>
        <w:spacing w:after="110"/>
      </w:pPr>
      <w:r>
        <w:rPr>
          <w:rFonts w:ascii="Arial" w:eastAsia="Arial" w:hAnsi="Arial"/>
          <w:color w:val="1A1A1A"/>
        </w:rPr>
        <w:t>Definitions are harmonised with ICH, EU GMP and WHO usage. A full bilingual glossary is available separately and will be incorporated on adoption.</w:t>
      </w:r>
    </w:p>
    <w:p w14:paraId="10C1E18D" w14:textId="77777777" w:rsidR="00CD5946" w:rsidRDefault="00000000">
      <w:pPr>
        <w:spacing w:after="40" w:line="266" w:lineRule="auto"/>
        <w:ind w:left="300" w:hanging="300"/>
      </w:pPr>
      <w:r>
        <w:rPr>
          <w:rFonts w:ascii="Arial" w:eastAsia="Arial" w:hAnsi="Arial"/>
          <w:b/>
          <w:bCs/>
          <w:color w:val="15512F"/>
        </w:rPr>
        <w:t xml:space="preserve">Authorised Person / Qualified Person (AP/QP).  </w:t>
      </w:r>
      <w:r>
        <w:rPr>
          <w:rFonts w:ascii="Arial" w:eastAsia="Arial" w:hAnsi="Arial"/>
          <w:color w:val="333333"/>
        </w:rPr>
        <w:t>For the purposes of this guideline and of cross-border reliance within the AUPAM framework, the terms “Authorised Person” (WHO usage) and “Qualified Person (QP)” (EU GMP usage) are legally interchangeable: each denotes the person who certifies each batch before release in accordance with Annex 16.  A reference to one term includes the other, except where an adopting authority’s national law expressly provides otherwise.</w:t>
      </w:r>
    </w:p>
    <w:p w14:paraId="78F6A8A0" w14:textId="77777777" w:rsidR="00CD5946" w:rsidRDefault="00000000">
      <w:pPr>
        <w:bidi/>
        <w:spacing w:after="150" w:line="300" w:lineRule="auto"/>
        <w:ind w:right="300" w:hanging="300"/>
        <w:jc w:val="right"/>
      </w:pPr>
      <w:r>
        <w:rPr>
          <w:rFonts w:ascii="Arial" w:eastAsia="Arial" w:hAnsi="Arial"/>
          <w:color w:val="333333"/>
          <w:sz w:val="20"/>
          <w:szCs w:val="20"/>
          <w:rtl/>
        </w:rPr>
        <w:t>الشخص المُخوّل/الشخص المؤهّل (AP/QP): لأغراض هذا الدليل والاعتماد العابر للحدود ضمن إطار AUPAM، يُعدّ المصطلحان «الشخص المُخوّل» (استخدام منظمة الصحة العالمية) و«الشخص المؤهّل» (استخدام دليل GMP الأوروبي) متكافئين قانوناً: ويدلّ كلّ منهما على الشخص الذي يعتمد كلّ دفعة قبل الإفراج وفق الملحق 16. وتشمل الإشارة إلى أحد المصطلحين الآخرَ، إلا حيثما ينصّ القانون الوطني للجهة المتبنّية صراحةً على خلاف ذلك.</w:t>
      </w:r>
    </w:p>
    <w:tbl>
      <w:tblPr>
        <w:tblW w:w="9360" w:type="dxa"/>
        <w:tblInd w:w="92" w:type="dxa"/>
        <w:tblLayout w:type="fixed"/>
        <w:tblCellMar>
          <w:top w:w="55" w:type="dxa"/>
          <w:left w:w="90" w:type="dxa"/>
          <w:bottom w:w="55" w:type="dxa"/>
          <w:right w:w="90" w:type="dxa"/>
        </w:tblCellMar>
        <w:tblLook w:val="0000" w:firstRow="0" w:lastRow="0" w:firstColumn="0" w:lastColumn="0" w:noHBand="0" w:noVBand="0"/>
      </w:tblPr>
      <w:tblGrid>
        <w:gridCol w:w="2700"/>
        <w:gridCol w:w="6660"/>
      </w:tblGrid>
      <w:tr w:rsidR="00CD5946" w14:paraId="4092CA25" w14:textId="77777777">
        <w:trPr>
          <w:tblHeader/>
        </w:trPr>
        <w:tc>
          <w:tcPr>
            <w:tcW w:w="2700" w:type="dxa"/>
            <w:tcBorders>
              <w:top w:val="single" w:sz="2" w:space="0" w:color="BFC9C0"/>
              <w:left w:val="single" w:sz="2" w:space="0" w:color="BFC9C0"/>
              <w:bottom w:val="single" w:sz="2" w:space="0" w:color="BFC9C0"/>
              <w:right w:val="single" w:sz="2" w:space="0" w:color="BFC9C0"/>
            </w:tcBorders>
            <w:shd w:val="clear" w:color="auto" w:fill="0E5A50"/>
          </w:tcPr>
          <w:p w14:paraId="29AFEA21" w14:textId="77777777" w:rsidR="00CD5946" w:rsidRDefault="00000000">
            <w:pPr>
              <w:spacing w:after="0"/>
            </w:pPr>
            <w:r>
              <w:rPr>
                <w:rFonts w:ascii="Arial" w:eastAsia="Arial" w:hAnsi="Arial"/>
                <w:b/>
                <w:bCs/>
                <w:color w:val="FFFFFF"/>
                <w:sz w:val="18"/>
                <w:szCs w:val="18"/>
              </w:rPr>
              <w:t>Term</w:t>
            </w:r>
          </w:p>
        </w:tc>
        <w:tc>
          <w:tcPr>
            <w:tcW w:w="6660" w:type="dxa"/>
            <w:tcBorders>
              <w:top w:val="single" w:sz="2" w:space="0" w:color="BFC9C0"/>
              <w:left w:val="single" w:sz="2" w:space="0" w:color="BFC9C0"/>
              <w:bottom w:val="single" w:sz="2" w:space="0" w:color="BFC9C0"/>
              <w:right w:val="single" w:sz="2" w:space="0" w:color="BFC9C0"/>
            </w:tcBorders>
            <w:shd w:val="clear" w:color="auto" w:fill="0E5A50"/>
          </w:tcPr>
          <w:p w14:paraId="5CB5ABF5" w14:textId="77777777" w:rsidR="00CD5946" w:rsidRDefault="00000000">
            <w:pPr>
              <w:spacing w:after="0"/>
            </w:pPr>
            <w:r>
              <w:rPr>
                <w:rFonts w:ascii="Arial" w:eastAsia="Arial" w:hAnsi="Arial"/>
                <w:b/>
                <w:bCs/>
                <w:color w:val="FFFFFF"/>
                <w:sz w:val="18"/>
                <w:szCs w:val="18"/>
              </w:rPr>
              <w:t>Definition</w:t>
            </w:r>
          </w:p>
        </w:tc>
      </w:tr>
      <w:tr w:rsidR="00CD5946" w14:paraId="471561FD"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5A61B5BF" w14:textId="77777777" w:rsidR="00CD5946" w:rsidRDefault="00000000">
            <w:pPr>
              <w:spacing w:after="0"/>
            </w:pPr>
            <w:r>
              <w:rPr>
                <w:rFonts w:ascii="Arial" w:eastAsia="Arial" w:hAnsi="Arial"/>
                <w:b/>
                <w:bCs/>
                <w:color w:val="15512F"/>
                <w:sz w:val="18"/>
                <w:szCs w:val="18"/>
              </w:rPr>
              <w:t>Active substance / API</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71864516" w14:textId="77777777" w:rsidR="00CD5946" w:rsidRDefault="00000000">
            <w:pPr>
              <w:spacing w:after="0"/>
            </w:pPr>
            <w:r>
              <w:rPr>
                <w:rFonts w:ascii="Arial" w:eastAsia="Arial" w:hAnsi="Arial"/>
                <w:color w:val="1A1A1A"/>
                <w:sz w:val="18"/>
                <w:szCs w:val="18"/>
              </w:rPr>
              <w:t>Any substance or mixture of substances intended to be used in the manufacture of a medicinal product and that, when used, becomes an active ingredient of that product.</w:t>
            </w:r>
          </w:p>
        </w:tc>
      </w:tr>
      <w:tr w:rsidR="00CD5946" w14:paraId="53F79472"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1A5D10A3" w14:textId="77777777" w:rsidR="00CD5946" w:rsidRDefault="00000000">
            <w:pPr>
              <w:spacing w:after="0"/>
            </w:pPr>
            <w:r>
              <w:rPr>
                <w:rFonts w:ascii="Arial" w:eastAsia="Arial" w:hAnsi="Arial"/>
                <w:b/>
                <w:bCs/>
                <w:color w:val="15512F"/>
                <w:sz w:val="18"/>
                <w:szCs w:val="18"/>
              </w:rPr>
              <w:t>ALCOA+</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7F53FC00" w14:textId="77777777" w:rsidR="00CD5946" w:rsidRDefault="00000000">
            <w:pPr>
              <w:spacing w:after="0"/>
            </w:pPr>
            <w:r>
              <w:rPr>
                <w:rFonts w:ascii="Arial" w:eastAsia="Arial" w:hAnsi="Arial"/>
                <w:color w:val="1A1A1A"/>
                <w:sz w:val="18"/>
                <w:szCs w:val="18"/>
              </w:rPr>
              <w:t>The attributes of reliable data: Attributable, Legible, Contemporaneous, Original, Accurate — plus Complete, Consistent, Enduring and Available.</w:t>
            </w:r>
          </w:p>
        </w:tc>
      </w:tr>
      <w:tr w:rsidR="00CD5946" w14:paraId="377878D0"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5C06AA69" w14:textId="77777777" w:rsidR="00CD5946" w:rsidRDefault="00000000">
            <w:pPr>
              <w:spacing w:after="0"/>
            </w:pPr>
            <w:r>
              <w:rPr>
                <w:rFonts w:ascii="Arial" w:eastAsia="Arial" w:hAnsi="Arial"/>
                <w:b/>
                <w:bCs/>
                <w:color w:val="15512F"/>
                <w:sz w:val="18"/>
                <w:szCs w:val="18"/>
              </w:rPr>
              <w:t>Aseptic Process Simulation (media fill)</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06C4658D" w14:textId="77777777" w:rsidR="00CD5946" w:rsidRDefault="00000000">
            <w:pPr>
              <w:spacing w:after="0"/>
            </w:pPr>
            <w:r>
              <w:rPr>
                <w:rFonts w:ascii="Arial" w:eastAsia="Arial" w:hAnsi="Arial"/>
                <w:color w:val="1A1A1A"/>
                <w:sz w:val="18"/>
                <w:szCs w:val="18"/>
              </w:rPr>
              <w:t>A method of evaluating an aseptic process by performing it using a sterile microbiological growth medium in place of the product.</w:t>
            </w:r>
          </w:p>
        </w:tc>
      </w:tr>
      <w:tr w:rsidR="00CD5946" w14:paraId="733ECD38"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23BF8BF2" w14:textId="77777777" w:rsidR="00CD5946" w:rsidRDefault="00000000">
            <w:pPr>
              <w:spacing w:after="0"/>
            </w:pPr>
            <w:r>
              <w:rPr>
                <w:rFonts w:ascii="Arial" w:eastAsia="Arial" w:hAnsi="Arial"/>
                <w:b/>
                <w:bCs/>
                <w:color w:val="15512F"/>
                <w:sz w:val="18"/>
                <w:szCs w:val="18"/>
              </w:rPr>
              <w:t>Authorised/Qualified Person (AP/QP)</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0668883A" w14:textId="77777777" w:rsidR="00CD5946" w:rsidRDefault="00000000">
            <w:pPr>
              <w:spacing w:after="0"/>
            </w:pPr>
            <w:r>
              <w:rPr>
                <w:rFonts w:ascii="Arial" w:eastAsia="Arial" w:hAnsi="Arial"/>
                <w:color w:val="1A1A1A"/>
                <w:sz w:val="18"/>
                <w:szCs w:val="18"/>
              </w:rPr>
              <w:t>The person legally responsible for certifying that each batch of finished product has been manufactured and checked in accordance with GMP and the marketing authorisation before release.</w:t>
            </w:r>
          </w:p>
        </w:tc>
      </w:tr>
      <w:tr w:rsidR="00CD5946" w14:paraId="6B4A4C07"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4B53C75E" w14:textId="77777777" w:rsidR="00CD5946" w:rsidRDefault="00000000">
            <w:pPr>
              <w:spacing w:after="0"/>
            </w:pPr>
            <w:r>
              <w:rPr>
                <w:rFonts w:ascii="Arial" w:eastAsia="Arial" w:hAnsi="Arial"/>
                <w:b/>
                <w:bCs/>
                <w:color w:val="15512F"/>
                <w:sz w:val="18"/>
                <w:szCs w:val="18"/>
              </w:rPr>
              <w:t>Batch</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68143BE2" w14:textId="77777777" w:rsidR="00CD5946" w:rsidRDefault="00000000">
            <w:pPr>
              <w:spacing w:after="0"/>
            </w:pPr>
            <w:r>
              <w:rPr>
                <w:rFonts w:ascii="Arial" w:eastAsia="Arial" w:hAnsi="Arial"/>
                <w:color w:val="1A1A1A"/>
                <w:sz w:val="18"/>
                <w:szCs w:val="18"/>
              </w:rPr>
              <w:t>A defined quantity of starting material, packaging material or product processed in a single process or series of processes so that it is expected to be homogeneous.</w:t>
            </w:r>
          </w:p>
        </w:tc>
      </w:tr>
      <w:tr w:rsidR="00CD5946" w14:paraId="22413A8D"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1C539D35" w14:textId="77777777" w:rsidR="00CD5946" w:rsidRDefault="00000000">
            <w:pPr>
              <w:spacing w:after="0"/>
            </w:pPr>
            <w:r>
              <w:rPr>
                <w:rFonts w:ascii="Arial" w:eastAsia="Arial" w:hAnsi="Arial"/>
                <w:b/>
                <w:bCs/>
                <w:color w:val="15512F"/>
                <w:sz w:val="18"/>
                <w:szCs w:val="18"/>
              </w:rPr>
              <w:t>Bioburden</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4EC2CD0D" w14:textId="77777777" w:rsidR="00CD5946" w:rsidRDefault="00000000">
            <w:pPr>
              <w:spacing w:after="0"/>
            </w:pPr>
            <w:r>
              <w:rPr>
                <w:rFonts w:ascii="Arial" w:eastAsia="Arial" w:hAnsi="Arial"/>
                <w:color w:val="1A1A1A"/>
                <w:sz w:val="18"/>
                <w:szCs w:val="18"/>
              </w:rPr>
              <w:t>The level and type of micro-organisms present in or on a material or product before sterilisation.</w:t>
            </w:r>
          </w:p>
        </w:tc>
      </w:tr>
      <w:tr w:rsidR="00CD5946" w14:paraId="30AA099B"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3B6FE9FF" w14:textId="77777777" w:rsidR="00CD5946" w:rsidRDefault="00000000">
            <w:pPr>
              <w:spacing w:after="0"/>
            </w:pPr>
            <w:r>
              <w:rPr>
                <w:rFonts w:ascii="Arial" w:eastAsia="Arial" w:hAnsi="Arial"/>
                <w:b/>
                <w:bCs/>
                <w:color w:val="15512F"/>
                <w:sz w:val="18"/>
                <w:szCs w:val="18"/>
              </w:rPr>
              <w:t>Biosimilar (SBP)</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4F70AD02" w14:textId="77777777" w:rsidR="00CD5946" w:rsidRDefault="00000000">
            <w:pPr>
              <w:spacing w:after="0"/>
            </w:pPr>
            <w:r>
              <w:rPr>
                <w:rFonts w:ascii="Arial" w:eastAsia="Arial" w:hAnsi="Arial"/>
                <w:color w:val="1A1A1A"/>
                <w:sz w:val="18"/>
                <w:szCs w:val="18"/>
              </w:rPr>
              <w:t>A biotherapeutic product that is highly similar to an already-licensed reference biotherapeutic product, with no clinically meaningful differences in quality, safety or efficacy.</w:t>
            </w:r>
          </w:p>
        </w:tc>
      </w:tr>
      <w:tr w:rsidR="00CD5946" w14:paraId="439D7C9A"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063F5E06" w14:textId="77777777" w:rsidR="00CD5946" w:rsidRDefault="00000000">
            <w:pPr>
              <w:spacing w:after="0"/>
            </w:pPr>
            <w:r>
              <w:rPr>
                <w:rFonts w:ascii="Arial" w:eastAsia="Arial" w:hAnsi="Arial"/>
                <w:b/>
                <w:bCs/>
                <w:color w:val="15512F"/>
                <w:sz w:val="18"/>
                <w:szCs w:val="18"/>
              </w:rPr>
              <w:lastRenderedPageBreak/>
              <w:t>CAPA</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4806B012" w14:textId="77777777" w:rsidR="00CD5946" w:rsidRDefault="00000000">
            <w:pPr>
              <w:spacing w:after="0"/>
            </w:pPr>
            <w:r>
              <w:rPr>
                <w:rFonts w:ascii="Arial" w:eastAsia="Arial" w:hAnsi="Arial"/>
                <w:color w:val="1A1A1A"/>
                <w:sz w:val="18"/>
                <w:szCs w:val="18"/>
              </w:rPr>
              <w:t>Corrective and Preventive Action — actions to eliminate the cause of a detected or potential non-conformity and to prevent recurrence.</w:t>
            </w:r>
          </w:p>
        </w:tc>
      </w:tr>
      <w:tr w:rsidR="00CD5946" w14:paraId="4B44621A"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0BC20687" w14:textId="77777777" w:rsidR="00CD5946" w:rsidRDefault="00000000">
            <w:pPr>
              <w:spacing w:after="0"/>
            </w:pPr>
            <w:r>
              <w:rPr>
                <w:rFonts w:ascii="Arial" w:eastAsia="Arial" w:hAnsi="Arial"/>
                <w:b/>
                <w:bCs/>
                <w:color w:val="15512F"/>
                <w:sz w:val="18"/>
                <w:szCs w:val="18"/>
              </w:rPr>
              <w:t>Contamination Control Strategy (CCS)</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2D810FB5" w14:textId="77777777" w:rsidR="00CD5946" w:rsidRDefault="00000000">
            <w:pPr>
              <w:spacing w:after="0"/>
            </w:pPr>
            <w:r>
              <w:rPr>
                <w:rFonts w:ascii="Arial" w:eastAsia="Arial" w:hAnsi="Arial"/>
                <w:color w:val="1A1A1A"/>
                <w:sz w:val="18"/>
                <w:szCs w:val="18"/>
              </w:rPr>
              <w:t>A planned set of controls for microorganisms, pyrogen and particulate matter, derived from current product and process understanding, that assures process performance and product quality.</w:t>
            </w:r>
          </w:p>
        </w:tc>
      </w:tr>
      <w:tr w:rsidR="00CD5946" w14:paraId="16E63E2F"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19746700" w14:textId="77777777" w:rsidR="00CD5946" w:rsidRDefault="00000000">
            <w:pPr>
              <w:spacing w:after="0"/>
            </w:pPr>
            <w:r>
              <w:rPr>
                <w:rFonts w:ascii="Arial" w:eastAsia="Arial" w:hAnsi="Arial"/>
                <w:b/>
                <w:bCs/>
                <w:color w:val="15512F"/>
                <w:sz w:val="18"/>
                <w:szCs w:val="18"/>
              </w:rPr>
              <w:t>Continued Process Verification (CPV)</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21A01F87" w14:textId="77777777" w:rsidR="00CD5946" w:rsidRDefault="00000000">
            <w:pPr>
              <w:spacing w:after="0"/>
            </w:pPr>
            <w:r>
              <w:rPr>
                <w:rFonts w:ascii="Arial" w:eastAsia="Arial" w:hAnsi="Arial"/>
                <w:color w:val="1A1A1A"/>
                <w:sz w:val="18"/>
                <w:szCs w:val="18"/>
              </w:rPr>
              <w:t>Ongoing assurance, during routine production, that the process remains in a state of control.</w:t>
            </w:r>
          </w:p>
        </w:tc>
      </w:tr>
      <w:tr w:rsidR="00CD5946" w14:paraId="595C0D77"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19EC5723" w14:textId="77777777" w:rsidR="00CD5946" w:rsidRDefault="00000000">
            <w:pPr>
              <w:spacing w:after="0"/>
            </w:pPr>
            <w:r>
              <w:rPr>
                <w:rFonts w:ascii="Arial" w:eastAsia="Arial" w:hAnsi="Arial"/>
                <w:b/>
                <w:bCs/>
                <w:color w:val="15512F"/>
                <w:sz w:val="18"/>
                <w:szCs w:val="18"/>
              </w:rPr>
              <w:t>Critical Process Parameter (CPP)</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1AD786D3" w14:textId="77777777" w:rsidR="00CD5946" w:rsidRDefault="00000000">
            <w:pPr>
              <w:spacing w:after="0"/>
            </w:pPr>
            <w:r>
              <w:rPr>
                <w:rFonts w:ascii="Arial" w:eastAsia="Arial" w:hAnsi="Arial"/>
                <w:color w:val="1A1A1A"/>
                <w:sz w:val="18"/>
                <w:szCs w:val="18"/>
              </w:rPr>
              <w:t>A process parameter whose variability has an impact on a critical quality attribute and which should be monitored or controlled.</w:t>
            </w:r>
          </w:p>
        </w:tc>
      </w:tr>
      <w:tr w:rsidR="00CD5946" w14:paraId="6755C856"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3B7D6CA4" w14:textId="77777777" w:rsidR="00CD5946" w:rsidRDefault="00000000">
            <w:pPr>
              <w:spacing w:after="0"/>
            </w:pPr>
            <w:r>
              <w:rPr>
                <w:rFonts w:ascii="Arial" w:eastAsia="Arial" w:hAnsi="Arial"/>
                <w:b/>
                <w:bCs/>
                <w:color w:val="15512F"/>
                <w:sz w:val="18"/>
                <w:szCs w:val="18"/>
              </w:rPr>
              <w:t>Critical Quality Attribute (CQA)</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55BDA452" w14:textId="77777777" w:rsidR="00CD5946" w:rsidRDefault="00000000">
            <w:pPr>
              <w:spacing w:after="0"/>
            </w:pPr>
            <w:r>
              <w:rPr>
                <w:rFonts w:ascii="Arial" w:eastAsia="Arial" w:hAnsi="Arial"/>
                <w:color w:val="1A1A1A"/>
                <w:sz w:val="18"/>
                <w:szCs w:val="18"/>
              </w:rPr>
              <w:t>A physical, chemical, biological or microbiological property or characteristic that should be within an appropriate limit, range or distribution to ensure the desired product quality.</w:t>
            </w:r>
          </w:p>
        </w:tc>
      </w:tr>
      <w:tr w:rsidR="00CD5946" w14:paraId="177C76F7"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60F37052" w14:textId="77777777" w:rsidR="00CD5946" w:rsidRDefault="00000000">
            <w:pPr>
              <w:spacing w:after="0"/>
            </w:pPr>
            <w:r>
              <w:rPr>
                <w:rFonts w:ascii="Arial" w:eastAsia="Arial" w:hAnsi="Arial"/>
                <w:b/>
                <w:bCs/>
                <w:color w:val="15512F"/>
                <w:sz w:val="18"/>
                <w:szCs w:val="18"/>
              </w:rPr>
              <w:t>Cross-contamination</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7628D4E6" w14:textId="77777777" w:rsidR="00CD5946" w:rsidRDefault="00000000">
            <w:pPr>
              <w:spacing w:after="0"/>
            </w:pPr>
            <w:r>
              <w:rPr>
                <w:rFonts w:ascii="Arial" w:eastAsia="Arial" w:hAnsi="Arial"/>
                <w:color w:val="1A1A1A"/>
                <w:sz w:val="18"/>
                <w:szCs w:val="18"/>
              </w:rPr>
              <w:t>Contamination of a material or product with another material or product.</w:t>
            </w:r>
          </w:p>
        </w:tc>
      </w:tr>
      <w:tr w:rsidR="00CD5946" w14:paraId="4063934E"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1CEC9B81" w14:textId="77777777" w:rsidR="00CD5946" w:rsidRDefault="00000000">
            <w:pPr>
              <w:spacing w:after="0"/>
            </w:pPr>
            <w:r>
              <w:rPr>
                <w:rFonts w:ascii="Arial" w:eastAsia="Arial" w:hAnsi="Arial"/>
                <w:b/>
                <w:bCs/>
                <w:color w:val="15512F"/>
                <w:sz w:val="18"/>
                <w:szCs w:val="18"/>
              </w:rPr>
              <w:t>Data integrity</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3C165910" w14:textId="77777777" w:rsidR="00CD5946" w:rsidRDefault="00000000">
            <w:pPr>
              <w:spacing w:after="0"/>
            </w:pPr>
            <w:r>
              <w:rPr>
                <w:rFonts w:ascii="Arial" w:eastAsia="Arial" w:hAnsi="Arial"/>
                <w:color w:val="1A1A1A"/>
                <w:sz w:val="18"/>
                <w:szCs w:val="18"/>
              </w:rPr>
              <w:t>The degree to which data are complete, consistent, accurate, trustworthy and reliable throughout the data lifecycle.</w:t>
            </w:r>
          </w:p>
        </w:tc>
      </w:tr>
      <w:tr w:rsidR="00CD5946" w14:paraId="0288F737"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4716DEAB" w14:textId="77777777" w:rsidR="00CD5946" w:rsidRDefault="00000000">
            <w:pPr>
              <w:spacing w:after="0"/>
            </w:pPr>
            <w:r>
              <w:rPr>
                <w:rFonts w:ascii="Arial" w:eastAsia="Arial" w:hAnsi="Arial"/>
                <w:b/>
                <w:bCs/>
                <w:color w:val="15512F"/>
                <w:sz w:val="18"/>
                <w:szCs w:val="18"/>
              </w:rPr>
              <w:t>Health-Based Exposure Limit (HBEL) / PDE</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53691CF6" w14:textId="77777777" w:rsidR="00CD5946" w:rsidRDefault="00000000">
            <w:pPr>
              <w:spacing w:after="0"/>
            </w:pPr>
            <w:r>
              <w:rPr>
                <w:rFonts w:ascii="Arial" w:eastAsia="Arial" w:hAnsi="Arial"/>
                <w:color w:val="1A1A1A"/>
                <w:sz w:val="18"/>
                <w:szCs w:val="18"/>
              </w:rPr>
              <w:t>A substance-specific limit, derived from toxicological evaluation, used to set safe carry-over limits for shared facilities.</w:t>
            </w:r>
          </w:p>
        </w:tc>
      </w:tr>
      <w:tr w:rsidR="00CD5946" w14:paraId="05A1D0C8"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5B80B765" w14:textId="77777777" w:rsidR="00CD5946" w:rsidRDefault="00000000">
            <w:pPr>
              <w:spacing w:after="0"/>
            </w:pPr>
            <w:r>
              <w:rPr>
                <w:rFonts w:ascii="Arial" w:eastAsia="Arial" w:hAnsi="Arial"/>
                <w:b/>
                <w:bCs/>
                <w:color w:val="15512F"/>
                <w:sz w:val="18"/>
                <w:szCs w:val="18"/>
              </w:rPr>
              <w:t>Marketing authorisation</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7408834B" w14:textId="77777777" w:rsidR="00CD5946" w:rsidRDefault="00000000">
            <w:pPr>
              <w:spacing w:after="0"/>
            </w:pPr>
            <w:r>
              <w:rPr>
                <w:rFonts w:ascii="Arial" w:eastAsia="Arial" w:hAnsi="Arial"/>
                <w:color w:val="1A1A1A"/>
                <w:sz w:val="18"/>
                <w:szCs w:val="18"/>
              </w:rPr>
              <w:t>The legal document issued by the competent authority that authorises the marketing of a medicinal product.</w:t>
            </w:r>
          </w:p>
        </w:tc>
      </w:tr>
      <w:tr w:rsidR="00CD5946" w14:paraId="1A0AB3B2"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2BD337F0" w14:textId="77777777" w:rsidR="00CD5946" w:rsidRDefault="00000000">
            <w:pPr>
              <w:spacing w:after="0"/>
            </w:pPr>
            <w:r>
              <w:rPr>
                <w:rFonts w:ascii="Arial" w:eastAsia="Arial" w:hAnsi="Arial"/>
                <w:b/>
                <w:bCs/>
                <w:color w:val="15512F"/>
                <w:sz w:val="18"/>
                <w:szCs w:val="18"/>
              </w:rPr>
              <w:t>Pharmaceutical Quality System (PQS)</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6115BD44" w14:textId="77777777" w:rsidR="00CD5946" w:rsidRDefault="00000000">
            <w:pPr>
              <w:spacing w:after="0"/>
            </w:pPr>
            <w:r>
              <w:rPr>
                <w:rFonts w:ascii="Arial" w:eastAsia="Arial" w:hAnsi="Arial"/>
                <w:color w:val="1A1A1A"/>
                <w:sz w:val="18"/>
                <w:szCs w:val="18"/>
              </w:rPr>
              <w:t>The management system that directs and controls a pharmaceutical company with regard to quality (ICH Q10).</w:t>
            </w:r>
          </w:p>
        </w:tc>
      </w:tr>
      <w:tr w:rsidR="00CD5946" w14:paraId="3AD0F5B9"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279C6CE9" w14:textId="77777777" w:rsidR="00CD5946" w:rsidRDefault="00000000">
            <w:pPr>
              <w:spacing w:after="0"/>
            </w:pPr>
            <w:r>
              <w:rPr>
                <w:rFonts w:ascii="Arial" w:eastAsia="Arial" w:hAnsi="Arial"/>
                <w:b/>
                <w:bCs/>
                <w:color w:val="15512F"/>
                <w:sz w:val="18"/>
                <w:szCs w:val="18"/>
              </w:rPr>
              <w:t>Product Quality Review (PQR)</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370AF7CB" w14:textId="77777777" w:rsidR="00CD5946" w:rsidRDefault="00000000">
            <w:pPr>
              <w:spacing w:after="0"/>
            </w:pPr>
            <w:r>
              <w:rPr>
                <w:rFonts w:ascii="Arial" w:eastAsia="Arial" w:hAnsi="Arial"/>
                <w:color w:val="1A1A1A"/>
                <w:sz w:val="18"/>
                <w:szCs w:val="18"/>
              </w:rPr>
              <w:t>A periodic review of the quality of a product to verify process consistency and identify improvements.</w:t>
            </w:r>
          </w:p>
        </w:tc>
      </w:tr>
      <w:tr w:rsidR="00CD5946" w14:paraId="6A200120"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7D6F7EEA" w14:textId="77777777" w:rsidR="00CD5946" w:rsidRDefault="00000000">
            <w:pPr>
              <w:spacing w:after="0"/>
            </w:pPr>
            <w:r>
              <w:rPr>
                <w:rFonts w:ascii="Arial" w:eastAsia="Arial" w:hAnsi="Arial"/>
                <w:b/>
                <w:bCs/>
                <w:color w:val="15512F"/>
                <w:sz w:val="18"/>
                <w:szCs w:val="18"/>
              </w:rPr>
              <w:t>Qualification</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3964C680" w14:textId="77777777" w:rsidR="00CD5946" w:rsidRDefault="00000000">
            <w:pPr>
              <w:spacing w:after="0"/>
            </w:pPr>
            <w:r>
              <w:rPr>
                <w:rFonts w:ascii="Arial" w:eastAsia="Arial" w:hAnsi="Arial"/>
                <w:color w:val="1A1A1A"/>
                <w:sz w:val="18"/>
                <w:szCs w:val="18"/>
              </w:rPr>
              <w:t>Action of proving and documenting that premises, utilities or equipment are properly installed, work correctly and lead to the expected results.</w:t>
            </w:r>
          </w:p>
        </w:tc>
      </w:tr>
      <w:tr w:rsidR="00CD5946" w14:paraId="59E3207F"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68D826A7" w14:textId="77777777" w:rsidR="00CD5946" w:rsidRDefault="00000000">
            <w:pPr>
              <w:spacing w:after="0"/>
            </w:pPr>
            <w:r>
              <w:rPr>
                <w:rFonts w:ascii="Arial" w:eastAsia="Arial" w:hAnsi="Arial"/>
                <w:b/>
                <w:bCs/>
                <w:color w:val="15512F"/>
                <w:sz w:val="18"/>
                <w:szCs w:val="18"/>
              </w:rPr>
              <w:t>Quality Control (QC)</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474FC270" w14:textId="77777777" w:rsidR="00CD5946" w:rsidRDefault="00000000">
            <w:pPr>
              <w:spacing w:after="0"/>
            </w:pPr>
            <w:r>
              <w:rPr>
                <w:rFonts w:ascii="Arial" w:eastAsia="Arial" w:hAnsi="Arial"/>
                <w:color w:val="1A1A1A"/>
                <w:sz w:val="18"/>
                <w:szCs w:val="18"/>
              </w:rPr>
              <w:t>The part of GMP concerned with sampling, specifications and testing, and with release procedures.</w:t>
            </w:r>
          </w:p>
        </w:tc>
      </w:tr>
      <w:tr w:rsidR="00CD5946" w14:paraId="0BF7DD23"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796291DB" w14:textId="77777777" w:rsidR="00CD5946" w:rsidRDefault="00000000">
            <w:pPr>
              <w:spacing w:after="0"/>
            </w:pPr>
            <w:r>
              <w:rPr>
                <w:rFonts w:ascii="Arial" w:eastAsia="Arial" w:hAnsi="Arial"/>
                <w:b/>
                <w:bCs/>
                <w:color w:val="15512F"/>
                <w:sz w:val="18"/>
                <w:szCs w:val="18"/>
              </w:rPr>
              <w:t>Quality Risk Management (QRM)</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55828A13" w14:textId="77777777" w:rsidR="00CD5946" w:rsidRDefault="00000000">
            <w:pPr>
              <w:spacing w:after="0"/>
            </w:pPr>
            <w:r>
              <w:rPr>
                <w:rFonts w:ascii="Arial" w:eastAsia="Arial" w:hAnsi="Arial"/>
                <w:color w:val="1A1A1A"/>
                <w:sz w:val="18"/>
                <w:szCs w:val="18"/>
              </w:rPr>
              <w:t>A systematic process for the assessment, control, communication and review of risks to quality across the lifecycle (ICH Q9).</w:t>
            </w:r>
          </w:p>
        </w:tc>
      </w:tr>
      <w:tr w:rsidR="00CD5946" w14:paraId="6235EA05"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3EEB4036" w14:textId="77777777" w:rsidR="00CD5946" w:rsidRDefault="00000000">
            <w:pPr>
              <w:spacing w:after="0"/>
            </w:pPr>
            <w:r>
              <w:rPr>
                <w:rFonts w:ascii="Arial" w:eastAsia="Arial" w:hAnsi="Arial"/>
                <w:b/>
                <w:bCs/>
                <w:color w:val="15512F"/>
                <w:sz w:val="18"/>
                <w:szCs w:val="18"/>
              </w:rPr>
              <w:t>Reliance</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620B2FCE" w14:textId="77777777" w:rsidR="00CD5946" w:rsidRDefault="00000000">
            <w:pPr>
              <w:spacing w:after="0"/>
            </w:pPr>
            <w:r>
              <w:rPr>
                <w:rFonts w:ascii="Arial" w:eastAsia="Arial" w:hAnsi="Arial"/>
                <w:color w:val="1A1A1A"/>
                <w:sz w:val="18"/>
                <w:szCs w:val="18"/>
              </w:rPr>
              <w:t>The act whereby a regulatory authority takes into account and gives significant weight to assessments or decisions of another trusted authority or institution.</w:t>
            </w:r>
          </w:p>
        </w:tc>
      </w:tr>
      <w:tr w:rsidR="00CD5946" w14:paraId="7BAB4019"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495FA924" w14:textId="77777777" w:rsidR="00CD5946" w:rsidRDefault="00000000">
            <w:pPr>
              <w:spacing w:after="0"/>
            </w:pPr>
            <w:r>
              <w:rPr>
                <w:rFonts w:ascii="Arial" w:eastAsia="Arial" w:hAnsi="Arial"/>
                <w:b/>
                <w:bCs/>
                <w:color w:val="15512F"/>
                <w:sz w:val="18"/>
                <w:szCs w:val="18"/>
              </w:rPr>
              <w:t>Sterility Assurance Level (SAL)</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75E8B66C" w14:textId="77777777" w:rsidR="00CD5946" w:rsidRDefault="00000000">
            <w:pPr>
              <w:spacing w:after="0"/>
            </w:pPr>
            <w:r>
              <w:rPr>
                <w:rFonts w:ascii="Arial" w:eastAsia="Arial" w:hAnsi="Arial"/>
                <w:color w:val="1A1A1A"/>
                <w:sz w:val="18"/>
                <w:szCs w:val="18"/>
              </w:rPr>
              <w:t>The probability of a single viable micro-organism occurring on an item after sterilisation; for terminal sterilisation, normally ≤ 10⁻⁶.</w:t>
            </w:r>
          </w:p>
        </w:tc>
      </w:tr>
      <w:tr w:rsidR="00CD5946" w14:paraId="4B8EC488" w14:textId="77777777">
        <w:tc>
          <w:tcPr>
            <w:tcW w:w="2700" w:type="dxa"/>
            <w:tcBorders>
              <w:top w:val="single" w:sz="2" w:space="0" w:color="BFC9C0"/>
              <w:left w:val="single" w:sz="2" w:space="0" w:color="BFC9C0"/>
              <w:bottom w:val="single" w:sz="2" w:space="0" w:color="BFC9C0"/>
              <w:right w:val="single" w:sz="2" w:space="0" w:color="BFC9C0"/>
            </w:tcBorders>
            <w:shd w:val="clear" w:color="auto" w:fill="EEF3F1"/>
          </w:tcPr>
          <w:p w14:paraId="73C6EA74" w14:textId="77777777" w:rsidR="00CD5946" w:rsidRDefault="00000000">
            <w:pPr>
              <w:spacing w:after="0"/>
            </w:pPr>
            <w:r>
              <w:rPr>
                <w:rFonts w:ascii="Arial" w:eastAsia="Arial" w:hAnsi="Arial"/>
                <w:b/>
                <w:bCs/>
                <w:color w:val="15512F"/>
                <w:sz w:val="18"/>
                <w:szCs w:val="18"/>
              </w:rPr>
              <w:t>Validation</w:t>
            </w:r>
          </w:p>
        </w:tc>
        <w:tc>
          <w:tcPr>
            <w:tcW w:w="6660" w:type="dxa"/>
            <w:tcBorders>
              <w:top w:val="single" w:sz="2" w:space="0" w:color="BFC9C0"/>
              <w:left w:val="single" w:sz="2" w:space="0" w:color="BFC9C0"/>
              <w:bottom w:val="single" w:sz="2" w:space="0" w:color="BFC9C0"/>
              <w:right w:val="single" w:sz="2" w:space="0" w:color="BFC9C0"/>
            </w:tcBorders>
            <w:shd w:val="clear" w:color="auto" w:fill="EEF3F1"/>
          </w:tcPr>
          <w:p w14:paraId="311D4938" w14:textId="77777777" w:rsidR="00CD5946" w:rsidRDefault="00000000">
            <w:pPr>
              <w:spacing w:after="0"/>
            </w:pPr>
            <w:r>
              <w:rPr>
                <w:rFonts w:ascii="Arial" w:eastAsia="Arial" w:hAnsi="Arial"/>
                <w:color w:val="1A1A1A"/>
                <w:sz w:val="18"/>
                <w:szCs w:val="18"/>
              </w:rPr>
              <w:t>Action of proving and documenting that any process, procedure or method consistently leads to the expected results.</w:t>
            </w:r>
          </w:p>
        </w:tc>
      </w:tr>
      <w:tr w:rsidR="00CD5946" w14:paraId="278E672B" w14:textId="77777777">
        <w:tc>
          <w:tcPr>
            <w:tcW w:w="2700" w:type="dxa"/>
            <w:tcBorders>
              <w:top w:val="single" w:sz="2" w:space="0" w:color="BFC9C0"/>
              <w:left w:val="single" w:sz="2" w:space="0" w:color="BFC9C0"/>
              <w:bottom w:val="single" w:sz="2" w:space="0" w:color="BFC9C0"/>
              <w:right w:val="single" w:sz="2" w:space="0" w:color="BFC9C0"/>
            </w:tcBorders>
            <w:shd w:val="clear" w:color="auto" w:fill="FFFFFF"/>
          </w:tcPr>
          <w:p w14:paraId="3F16716B" w14:textId="77777777" w:rsidR="00CD5946" w:rsidRDefault="00000000">
            <w:pPr>
              <w:spacing w:after="0"/>
            </w:pPr>
            <w:r>
              <w:rPr>
                <w:rFonts w:ascii="Arial" w:eastAsia="Arial" w:hAnsi="Arial"/>
                <w:b/>
                <w:bCs/>
                <w:color w:val="15512F"/>
                <w:sz w:val="18"/>
                <w:szCs w:val="18"/>
              </w:rPr>
              <w:t>Water for Injection (WFI) / Purified Water (PW)</w:t>
            </w:r>
          </w:p>
        </w:tc>
        <w:tc>
          <w:tcPr>
            <w:tcW w:w="6660" w:type="dxa"/>
            <w:tcBorders>
              <w:top w:val="single" w:sz="2" w:space="0" w:color="BFC9C0"/>
              <w:left w:val="single" w:sz="2" w:space="0" w:color="BFC9C0"/>
              <w:bottom w:val="single" w:sz="2" w:space="0" w:color="BFC9C0"/>
              <w:right w:val="single" w:sz="2" w:space="0" w:color="BFC9C0"/>
            </w:tcBorders>
            <w:shd w:val="clear" w:color="auto" w:fill="FFFFFF"/>
          </w:tcPr>
          <w:p w14:paraId="5B09F1CF" w14:textId="77777777" w:rsidR="00CD5946" w:rsidRDefault="00000000">
            <w:pPr>
              <w:spacing w:after="0"/>
            </w:pPr>
            <w:r>
              <w:rPr>
                <w:rFonts w:ascii="Arial" w:eastAsia="Arial" w:hAnsi="Arial"/>
                <w:color w:val="1A1A1A"/>
                <w:sz w:val="18"/>
                <w:szCs w:val="18"/>
              </w:rPr>
              <w:t>Pharmacopoeial grades of water with defined chemical and microbiological quality, used according to the stage of manufacture and route of administration.</w:t>
            </w:r>
          </w:p>
        </w:tc>
      </w:tr>
    </w:tbl>
    <w:p w14:paraId="1D18B5B7" w14:textId="77777777" w:rsidR="00CD5946" w:rsidRDefault="00000000">
      <w:pPr>
        <w:pStyle w:val="Heading1"/>
      </w:pPr>
      <w:r>
        <w:br w:type="page"/>
      </w:r>
      <w:bookmarkStart w:id="291" w:name="__RefHeading___Toc9717_1729075678"/>
      <w:bookmarkEnd w:id="291"/>
      <w:r>
        <w:lastRenderedPageBreak/>
        <w:t>Appendix D — Normative references</w:t>
      </w:r>
    </w:p>
    <w:p w14:paraId="57FFDFD5" w14:textId="77777777" w:rsidR="00CD5946" w:rsidRDefault="00000000">
      <w:pPr>
        <w:spacing w:after="110"/>
      </w:pPr>
      <w:r>
        <w:rPr>
          <w:rFonts w:ascii="Arial" w:eastAsia="Arial" w:hAnsi="Arial"/>
          <w:color w:val="1A1A1A"/>
        </w:rPr>
        <w:t>Latest versions at the time of drafting; the Working Group will confirm current editions at issue. (See also the introductory volume for the full annotated list.)</w:t>
      </w:r>
    </w:p>
    <w:p w14:paraId="0E3ACA9E" w14:textId="77777777" w:rsidR="00CD5946" w:rsidRDefault="00000000">
      <w:pPr>
        <w:spacing w:after="60"/>
        <w:ind w:left="520" w:hanging="300"/>
      </w:pPr>
      <w:r>
        <w:rPr>
          <w:rFonts w:ascii="Arial" w:eastAsia="Arial" w:hAnsi="Arial"/>
          <w:b/>
          <w:bCs/>
          <w:color w:val="15512F"/>
          <w:sz w:val="19"/>
          <w:szCs w:val="19"/>
        </w:rPr>
        <w:t xml:space="preserve">1.  </w:t>
      </w:r>
      <w:r>
        <w:rPr>
          <w:rFonts w:ascii="Arial" w:eastAsia="Arial" w:hAnsi="Arial"/>
          <w:color w:val="1A1A1A"/>
          <w:sz w:val="19"/>
          <w:szCs w:val="19"/>
        </w:rPr>
        <w:t>Saudi Food and Drug Authority (SFDA) — GMP Guide, Version 4.4 (primary regional anchor).</w:t>
      </w:r>
    </w:p>
    <w:p w14:paraId="007BD9E2" w14:textId="77777777" w:rsidR="00CD5946" w:rsidRDefault="00000000">
      <w:pPr>
        <w:spacing w:after="60"/>
        <w:ind w:left="520" w:hanging="300"/>
      </w:pPr>
      <w:r>
        <w:rPr>
          <w:rFonts w:ascii="Arial" w:eastAsia="Arial" w:hAnsi="Arial"/>
          <w:b/>
          <w:bCs/>
          <w:color w:val="15512F"/>
          <w:sz w:val="19"/>
          <w:szCs w:val="19"/>
        </w:rPr>
        <w:t xml:space="preserve">2.  </w:t>
      </w:r>
      <w:r>
        <w:rPr>
          <w:rFonts w:ascii="Arial" w:eastAsia="Arial" w:hAnsi="Arial"/>
          <w:color w:val="1A1A1A"/>
          <w:sz w:val="19"/>
          <w:szCs w:val="19"/>
        </w:rPr>
        <w:t>EudraLex Volume 4 — EU GMP for Medicinal Products: Part I, Part II, Part III and Annexes.</w:t>
      </w:r>
    </w:p>
    <w:p w14:paraId="2A625558" w14:textId="77777777" w:rsidR="00CD5946" w:rsidRDefault="00000000">
      <w:pPr>
        <w:spacing w:after="60"/>
        <w:ind w:left="520" w:hanging="300"/>
      </w:pPr>
      <w:r>
        <w:rPr>
          <w:rFonts w:ascii="Arial" w:eastAsia="Arial" w:hAnsi="Arial"/>
          <w:b/>
          <w:bCs/>
          <w:color w:val="15512F"/>
          <w:sz w:val="19"/>
          <w:szCs w:val="19"/>
        </w:rPr>
        <w:t xml:space="preserve">3.  </w:t>
      </w:r>
      <w:r>
        <w:rPr>
          <w:rFonts w:ascii="Arial" w:eastAsia="Arial" w:hAnsi="Arial"/>
          <w:color w:val="1A1A1A"/>
          <w:sz w:val="19"/>
          <w:szCs w:val="19"/>
        </w:rPr>
        <w:t>EU GMP Annex 1 (2022); Annexes 2, 3, 6, 7, 8, 11, 13, 15 (2015), 16, 17 (2018), 19 and 21 (2022).</w:t>
      </w:r>
    </w:p>
    <w:p w14:paraId="1970EB30" w14:textId="77777777" w:rsidR="00CD5946" w:rsidRDefault="00000000">
      <w:pPr>
        <w:spacing w:after="60"/>
        <w:ind w:left="520" w:hanging="300"/>
      </w:pPr>
      <w:r>
        <w:rPr>
          <w:rFonts w:ascii="Arial" w:eastAsia="Arial" w:hAnsi="Arial"/>
          <w:b/>
          <w:bCs/>
          <w:color w:val="15512F"/>
          <w:sz w:val="19"/>
          <w:szCs w:val="19"/>
        </w:rPr>
        <w:t xml:space="preserve">4.  </w:t>
      </w:r>
      <w:r>
        <w:rPr>
          <w:rFonts w:ascii="Arial" w:eastAsia="Arial" w:hAnsi="Arial"/>
          <w:color w:val="1A1A1A"/>
          <w:sz w:val="19"/>
          <w:szCs w:val="19"/>
        </w:rPr>
        <w:t>PIC/S PE 009-17 (GMP Guide, in force 25 Aug 2023) and PI 041-1 (Data Integrity, 2021).</w:t>
      </w:r>
    </w:p>
    <w:p w14:paraId="1BFB43BA" w14:textId="77777777" w:rsidR="00CD5946" w:rsidRDefault="00000000">
      <w:pPr>
        <w:spacing w:after="60"/>
        <w:ind w:left="520" w:hanging="300"/>
      </w:pPr>
      <w:r>
        <w:rPr>
          <w:rFonts w:ascii="Arial" w:eastAsia="Arial" w:hAnsi="Arial"/>
          <w:b/>
          <w:bCs/>
          <w:color w:val="15512F"/>
          <w:sz w:val="19"/>
          <w:szCs w:val="19"/>
        </w:rPr>
        <w:t xml:space="preserve">5.  </w:t>
      </w:r>
      <w:r>
        <w:rPr>
          <w:rFonts w:ascii="Arial" w:eastAsia="Arial" w:hAnsi="Arial"/>
          <w:color w:val="1A1A1A"/>
          <w:sz w:val="19"/>
          <w:szCs w:val="19"/>
        </w:rPr>
        <w:t>US FDA — 21 CFR Parts 210, 211 and Part 11; FDA Guidances (Process Validation 2011; Data Integrity 2018; OOS 2022).</w:t>
      </w:r>
    </w:p>
    <w:p w14:paraId="11620A02" w14:textId="77777777" w:rsidR="00CD5946" w:rsidRDefault="00000000">
      <w:pPr>
        <w:spacing w:after="60"/>
        <w:ind w:left="520" w:hanging="300"/>
      </w:pPr>
      <w:r>
        <w:rPr>
          <w:rFonts w:ascii="Arial" w:eastAsia="Arial" w:hAnsi="Arial"/>
          <w:b/>
          <w:bCs/>
          <w:color w:val="15512F"/>
          <w:sz w:val="19"/>
          <w:szCs w:val="19"/>
        </w:rPr>
        <w:t xml:space="preserve">6.  </w:t>
      </w:r>
      <w:r>
        <w:rPr>
          <w:rFonts w:ascii="Arial" w:eastAsia="Arial" w:hAnsi="Arial"/>
          <w:color w:val="1A1A1A"/>
          <w:sz w:val="19"/>
          <w:szCs w:val="19"/>
        </w:rPr>
        <w:t>ICH Q1A(R2)/Q1B/Q1E; Q2(R2); Q3A–Q3D(R2); Q5A(R2)–Q5E; Q6A/Q6B; Q7; Q8(R2); Q9(R1); Q10; Q11; Q12; Q13; Q14; M4.</w:t>
      </w:r>
    </w:p>
    <w:p w14:paraId="792698DF" w14:textId="77777777" w:rsidR="00CD5946" w:rsidRDefault="00000000">
      <w:pPr>
        <w:spacing w:after="60"/>
        <w:ind w:left="520" w:hanging="300"/>
      </w:pPr>
      <w:r>
        <w:rPr>
          <w:rFonts w:ascii="Arial" w:eastAsia="Arial" w:hAnsi="Arial"/>
          <w:b/>
          <w:bCs/>
          <w:color w:val="15512F"/>
          <w:sz w:val="19"/>
          <w:szCs w:val="19"/>
        </w:rPr>
        <w:t xml:space="preserve">7.  </w:t>
      </w:r>
      <w:r>
        <w:rPr>
          <w:rFonts w:ascii="Arial" w:eastAsia="Arial" w:hAnsi="Arial"/>
          <w:color w:val="1A1A1A"/>
          <w:sz w:val="19"/>
          <w:szCs w:val="19"/>
        </w:rPr>
        <w:t>Biosimilars: WHO TRS 1043 Annex 3 (2022; TRS 977 Annex 2); EMA CHMP/437/04 Rev.1 &amp; suite; US FDA BPCIA §351(k).</w:t>
      </w:r>
    </w:p>
    <w:p w14:paraId="58C396AA" w14:textId="77777777" w:rsidR="00CD5946" w:rsidRDefault="00000000">
      <w:pPr>
        <w:spacing w:after="60"/>
        <w:ind w:left="520" w:hanging="300"/>
      </w:pPr>
      <w:r>
        <w:rPr>
          <w:rFonts w:ascii="Arial" w:eastAsia="Arial" w:hAnsi="Arial"/>
          <w:b/>
          <w:bCs/>
          <w:color w:val="15512F"/>
          <w:sz w:val="19"/>
          <w:szCs w:val="19"/>
        </w:rPr>
        <w:t xml:space="preserve">8.  </w:t>
      </w:r>
      <w:r>
        <w:rPr>
          <w:rFonts w:ascii="Arial" w:eastAsia="Arial" w:hAnsi="Arial"/>
          <w:color w:val="1A1A1A"/>
          <w:sz w:val="19"/>
          <w:szCs w:val="19"/>
        </w:rPr>
        <w:t>WHO TRS 986 Annex 2 (GMP, 2014); TRS 1019 Annex 3 (validation); TRS 1033 Annex 3 (water) &amp; Annex 4 (data integrity); WHO GDP.</w:t>
      </w:r>
    </w:p>
    <w:p w14:paraId="6277CC5A" w14:textId="77777777" w:rsidR="00CD5946" w:rsidRDefault="00000000">
      <w:pPr>
        <w:spacing w:after="60"/>
        <w:ind w:left="520" w:hanging="300"/>
      </w:pPr>
      <w:r>
        <w:rPr>
          <w:rFonts w:ascii="Arial" w:eastAsia="Arial" w:hAnsi="Arial"/>
          <w:b/>
          <w:bCs/>
          <w:color w:val="15512F"/>
          <w:sz w:val="19"/>
          <w:szCs w:val="19"/>
        </w:rPr>
        <w:t xml:space="preserve">9.  </w:t>
      </w:r>
      <w:r>
        <w:rPr>
          <w:rFonts w:ascii="Arial" w:eastAsia="Arial" w:hAnsi="Arial"/>
          <w:color w:val="1A1A1A"/>
          <w:sz w:val="19"/>
          <w:szCs w:val="19"/>
        </w:rPr>
        <w:t>ISO 14644-1/-2:2015; EN 285; EMA HBEL (EMA/CHMP/CVMP/SWP/169430/2012); ISPE GAMP 5 (2nd ed., 2022).</w:t>
      </w:r>
    </w:p>
    <w:p w14:paraId="28E7754F" w14:textId="77777777" w:rsidR="00CD5946" w:rsidRDefault="00000000">
      <w:pPr>
        <w:spacing w:after="60"/>
        <w:ind w:left="520" w:hanging="300"/>
      </w:pPr>
      <w:r>
        <w:rPr>
          <w:rFonts w:ascii="Arial" w:eastAsia="Arial" w:hAnsi="Arial"/>
          <w:b/>
          <w:bCs/>
          <w:color w:val="15512F"/>
          <w:sz w:val="19"/>
          <w:szCs w:val="19"/>
        </w:rPr>
        <w:t xml:space="preserve">10.  </w:t>
      </w:r>
      <w:r>
        <w:rPr>
          <w:rFonts w:ascii="Arial" w:eastAsia="Arial" w:hAnsi="Arial"/>
          <w:color w:val="1A1A1A"/>
          <w:sz w:val="19"/>
          <w:szCs w:val="19"/>
        </w:rPr>
        <w:t>European Pharmacopoeia and United States Pharmacopeia — relevant general chapters and monographs.</w:t>
      </w:r>
    </w:p>
    <w:p>
      <w:pPr>
        <w:spacing w:after="60"/>
        <w:ind w:left="520" w:hanging="300"/>
      </w:pPr>
      <w:r>
        <w:rPr>
          <w:rFonts w:ascii="Arial" w:eastAsia="Arial" w:hAnsi="Arial"/>
          <w:b/>
          <w:bCs/>
          <w:color w:val="15512F"/>
          <w:sz w:val="19"/>
          <w:szCs w:val="19"/>
        </w:rPr>
        <w:t xml:space="preserve">11.  ICH M7(R2) (mutagenic impurities); EMA nitrosamine framework (EMA/409815/2020, as updated); US FDA nitrosamine guidances (current revisions).</w:t>
      </w:r>
    </w:p>
    <w:p>
      <w:pPr>
        <w:spacing w:after="60"/>
        <w:ind w:left="520" w:hanging="300"/>
      </w:pPr>
      <w:r>
        <w:rPr>
          <w:rFonts w:ascii="Arial" w:eastAsia="Arial" w:hAnsi="Arial"/>
          <w:b/>
          <w:bCs/>
          <w:color w:val="15512F"/>
          <w:sz w:val="19"/>
          <w:szCs w:val="19"/>
        </w:rPr>
        <w:t xml:space="preserve">12.  EU GMP Annex 19 (rev. 24 Jun 2026, applicable 24 Sep 2026); PIC/S PE 008 (Site Master File); PIC/S PI 006-4 (in force 1 Oct 2026); US FDA Aseptic Processing (2004); US FDA Computer Software Assurance (final).</w:t>
      </w:r>
    </w:p>
    <w:p>
      <w:pPr>
        <w:spacing w:after="60"/>
        <w:ind w:left="520" w:hanging="300"/>
      </w:pPr>
      <w:r>
        <w:rPr>
          <w:rFonts w:ascii="Arial" w:eastAsia="Arial" w:hAnsi="Arial"/>
          <w:b/>
          <w:bCs/>
          <w:color w:val="15512F"/>
          <w:sz w:val="19"/>
          <w:szCs w:val="19"/>
        </w:rPr>
        <w:t xml:space="preserve">13.  WHO Good Reliance Practices (TRS 1033, Annex 10); WHO Good Storage and Distribution Practices (TRS 1025, Annex 7); EU GDP Guidelines (2013/C 343/01); ISO 14644-3; EN 1822; ISO 17665.</w:t>
      </w:r>
    </w:p>
    <w:p w14:paraId="528C1EA8" w14:textId="77777777" w:rsidR="00CD5946" w:rsidRDefault="00000000">
      <w:r>
        <w:br w:type="page"/>
      </w:r>
    </w:p>
    <w:p w14:paraId="6480ED65" w14:textId="77777777" w:rsidR="00CD5946" w:rsidRDefault="00000000">
      <w:pPr>
        <w:pStyle w:val="Heading1"/>
        <w:spacing w:before="0"/>
      </w:pPr>
      <w:bookmarkStart w:id="292" w:name="__RefHeading___Toc28267_1371984443"/>
      <w:bookmarkEnd w:id="292"/>
      <w:r>
        <w:lastRenderedPageBreak/>
        <w:t xml:space="preserve">Part IV — 2026 Practical Companion &amp; Forward Standards  ·  </w:t>
      </w:r>
      <w:r>
        <w:rPr>
          <w:rtl/>
        </w:rPr>
        <w:t>الجزء الرابع — الرفيق العملي والمعايير المستقبلية</w:t>
      </w:r>
    </w:p>
    <w:p w14:paraId="412017C7" w14:textId="77777777" w:rsidR="00CD5946" w:rsidRDefault="00000000">
      <w:pPr>
        <w:spacing w:after="100" w:line="266" w:lineRule="auto"/>
      </w:pPr>
      <w:r>
        <w:rPr>
          <w:rFonts w:ascii="Arial" w:eastAsia="Arial" w:hAnsi="Arial"/>
          <w:color w:val="333333"/>
        </w:rPr>
        <w:t>This Part adds practical apparatus and forward-looking standards to support industry, regulators and academia. It does not alter any requirement in Parts I–III or the Annexes; material set apart as an aide-mémoire, decision tree, worked example or learning aid is informative, and the Arab Annex A-AI is anticipatory (a recommendation) until an adopting authority brings it into force. Each item is cross-referenced to the chapter or annex it supports.</w:t>
      </w:r>
    </w:p>
    <w:p w14:paraId="073D1034" w14:textId="77777777" w:rsidR="00CD5946" w:rsidRDefault="00000000">
      <w:pPr>
        <w:bidi/>
        <w:spacing w:after="150" w:line="300" w:lineRule="auto"/>
        <w:jc w:val="right"/>
      </w:pPr>
      <w:r>
        <w:rPr>
          <w:rFonts w:ascii="Arial" w:eastAsia="Arial" w:hAnsi="Arial"/>
          <w:color w:val="333333"/>
          <w:sz w:val="20"/>
          <w:szCs w:val="20"/>
          <w:rtl/>
        </w:rPr>
        <w:t xml:space="preserve">يضيف هذا الجزء أدوات عملية ومعايير استباقية لدعم الصناعة والجهات التنظيمية والأوساط الأكاديمية، دون أن يغيّر أيّ متطلّب في الأجزاء </w:t>
      </w:r>
      <w:r>
        <w:rPr>
          <w:rFonts w:ascii="Arial" w:eastAsia="Arial" w:hAnsi="Arial"/>
          <w:color w:val="333333"/>
          <w:sz w:val="20"/>
          <w:szCs w:val="20"/>
        </w:rPr>
        <w:t>I–III</w:t>
      </w:r>
      <w:r>
        <w:rPr>
          <w:rFonts w:ascii="Arial" w:eastAsia="Arial" w:hAnsi="Arial"/>
          <w:color w:val="333333"/>
          <w:sz w:val="20"/>
          <w:szCs w:val="20"/>
          <w:rtl/>
        </w:rPr>
        <w:t xml:space="preserve"> أو الملاحق. والموادّ المعروضة كأدلّة مساعدة أو أشجار قرار أو أمثلة محلولة إرشادية، والملحق </w:t>
      </w:r>
      <w:r>
        <w:rPr>
          <w:rFonts w:ascii="Arial" w:eastAsia="Arial" w:hAnsi="Arial"/>
          <w:color w:val="333333"/>
          <w:sz w:val="20"/>
          <w:szCs w:val="20"/>
        </w:rPr>
        <w:t>A-AI</w:t>
      </w:r>
      <w:r>
        <w:rPr>
          <w:rFonts w:ascii="Arial" w:eastAsia="Arial" w:hAnsi="Arial"/>
          <w:color w:val="333333"/>
          <w:sz w:val="20"/>
          <w:szCs w:val="20"/>
          <w:rtl/>
        </w:rPr>
        <w:t xml:space="preserve"> استباقي (توصية) حتّى يُنفّذ.</w:t>
      </w:r>
    </w:p>
    <w:p w14:paraId="4CA34560" w14:textId="77777777" w:rsidR="00CD5946" w:rsidRDefault="00000000">
      <w:pPr>
        <w:pStyle w:val="Heading2"/>
        <w:spacing w:before="220" w:after="100"/>
      </w:pPr>
      <w:bookmarkStart w:id="293" w:name="__RefHeading___Toc28269_1371984443"/>
      <w:bookmarkEnd w:id="293"/>
      <w:r>
        <w:rPr>
          <w:sz w:val="25"/>
          <w:szCs w:val="25"/>
        </w:rPr>
        <w:t xml:space="preserve">Cross-reference map  ·  </w:t>
      </w:r>
      <w:r>
        <w:rPr>
          <w:sz w:val="25"/>
          <w:szCs w:val="25"/>
          <w:rtl/>
        </w:rPr>
        <w:t>خريطة الإحالات</w:t>
      </w:r>
    </w:p>
    <w:tbl>
      <w:tblPr>
        <w:tblW w:w="9360" w:type="dxa"/>
        <w:tblInd w:w="103" w:type="dxa"/>
        <w:tblLayout w:type="fixed"/>
        <w:tblLook w:val="04A0" w:firstRow="1" w:lastRow="0" w:firstColumn="1" w:lastColumn="0" w:noHBand="0" w:noVBand="1"/>
      </w:tblPr>
      <w:tblGrid>
        <w:gridCol w:w="3120"/>
        <w:gridCol w:w="3120"/>
        <w:gridCol w:w="3120"/>
      </w:tblGrid>
      <w:tr w:rsidR="00CD5946" w14:paraId="158A272A" w14:textId="77777777">
        <w:tc>
          <w:tcPr>
            <w:tcW w:w="3120" w:type="dxa"/>
            <w:tcBorders>
              <w:top w:val="single" w:sz="4" w:space="0" w:color="CCCCCC"/>
              <w:left w:val="single" w:sz="4" w:space="0" w:color="CCCCCC"/>
              <w:bottom w:val="single" w:sz="4" w:space="0" w:color="CCCCCC"/>
              <w:right w:val="single" w:sz="4" w:space="0" w:color="CCCCCC"/>
            </w:tcBorders>
            <w:shd w:val="clear" w:color="auto" w:fill="15512F"/>
          </w:tcPr>
          <w:p w14:paraId="2EA94D57" w14:textId="77777777" w:rsidR="00CD5946" w:rsidRDefault="00000000">
            <w:pPr>
              <w:spacing w:before="20" w:after="20" w:line="252" w:lineRule="auto"/>
            </w:pPr>
            <w:r>
              <w:rPr>
                <w:rFonts w:ascii="Arial" w:eastAsia="Arial" w:hAnsi="Arial"/>
                <w:b/>
                <w:bCs/>
                <w:color w:val="FFFFFF"/>
                <w:sz w:val="20"/>
                <w:szCs w:val="20"/>
              </w:rPr>
              <w:t>Item</w:t>
            </w:r>
          </w:p>
        </w:tc>
        <w:tc>
          <w:tcPr>
            <w:tcW w:w="3120" w:type="dxa"/>
            <w:tcBorders>
              <w:top w:val="single" w:sz="4" w:space="0" w:color="CCCCCC"/>
              <w:left w:val="single" w:sz="4" w:space="0" w:color="CCCCCC"/>
              <w:bottom w:val="single" w:sz="4" w:space="0" w:color="CCCCCC"/>
              <w:right w:val="single" w:sz="4" w:space="0" w:color="CCCCCC"/>
            </w:tcBorders>
            <w:shd w:val="clear" w:color="auto" w:fill="15512F"/>
          </w:tcPr>
          <w:p w14:paraId="3008D7CD" w14:textId="77777777" w:rsidR="00CD5946" w:rsidRDefault="00000000">
            <w:pPr>
              <w:spacing w:before="20" w:after="20" w:line="252" w:lineRule="auto"/>
            </w:pPr>
            <w:r>
              <w:rPr>
                <w:rFonts w:ascii="Arial" w:eastAsia="Arial" w:hAnsi="Arial"/>
                <w:b/>
                <w:bCs/>
                <w:color w:val="FFFFFF"/>
                <w:sz w:val="20"/>
                <w:szCs w:val="20"/>
              </w:rPr>
              <w:t>Supports</w:t>
            </w:r>
          </w:p>
        </w:tc>
        <w:tc>
          <w:tcPr>
            <w:tcW w:w="3120" w:type="dxa"/>
            <w:tcBorders>
              <w:top w:val="single" w:sz="4" w:space="0" w:color="CCCCCC"/>
              <w:left w:val="single" w:sz="4" w:space="0" w:color="CCCCCC"/>
              <w:bottom w:val="single" w:sz="4" w:space="0" w:color="CCCCCC"/>
              <w:right w:val="single" w:sz="4" w:space="0" w:color="CCCCCC"/>
            </w:tcBorders>
            <w:shd w:val="clear" w:color="auto" w:fill="15512F"/>
          </w:tcPr>
          <w:p w14:paraId="5E4B9B1A" w14:textId="77777777" w:rsidR="00CD5946" w:rsidRDefault="00000000">
            <w:pPr>
              <w:spacing w:before="20" w:after="20" w:line="252" w:lineRule="auto"/>
            </w:pPr>
            <w:r>
              <w:rPr>
                <w:rFonts w:ascii="Arial" w:eastAsia="Arial" w:hAnsi="Arial"/>
                <w:b/>
                <w:bCs/>
                <w:color w:val="FFFFFF"/>
                <w:sz w:val="20"/>
                <w:szCs w:val="20"/>
              </w:rPr>
              <w:t>Status</w:t>
            </w:r>
          </w:p>
        </w:tc>
      </w:tr>
      <w:tr w:rsidR="00CD5946" w14:paraId="200385AD" w14:textId="77777777">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700D2D41" w14:textId="77777777" w:rsidR="00CD5946" w:rsidRDefault="00000000">
            <w:pPr>
              <w:spacing w:before="20" w:after="20" w:line="252" w:lineRule="auto"/>
            </w:pPr>
            <w:r>
              <w:rPr>
                <w:rFonts w:ascii="Arial" w:eastAsia="Arial" w:hAnsi="Arial"/>
                <w:color w:val="333333"/>
                <w:sz w:val="20"/>
                <w:szCs w:val="20"/>
              </w:rPr>
              <w:t>Per-chapter apparatus (learning outcomes, assessor aide-mémoire, summary)</w:t>
            </w:r>
          </w:p>
        </w:tc>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448DFCE4" w14:textId="77777777" w:rsidR="00CD5946" w:rsidRDefault="00000000">
            <w:pPr>
              <w:spacing w:before="20" w:after="20" w:line="252" w:lineRule="auto"/>
            </w:pPr>
            <w:r>
              <w:rPr>
                <w:rFonts w:ascii="Arial" w:eastAsia="Arial" w:hAnsi="Arial"/>
                <w:color w:val="333333"/>
                <w:sz w:val="20"/>
                <w:szCs w:val="20"/>
              </w:rPr>
              <w:t>All chapters; shown on Ch.1 (PQS)</w:t>
            </w:r>
          </w:p>
        </w:tc>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162B8E6C" w14:textId="77777777" w:rsidR="00CD5946" w:rsidRDefault="00000000">
            <w:pPr>
              <w:spacing w:before="20" w:after="20" w:line="252" w:lineRule="auto"/>
            </w:pPr>
            <w:r>
              <w:rPr>
                <w:rFonts w:ascii="Arial" w:eastAsia="Arial" w:hAnsi="Arial"/>
                <w:color w:val="333333"/>
                <w:sz w:val="20"/>
                <w:szCs w:val="20"/>
              </w:rPr>
              <w:t>Informative</w:t>
            </w:r>
          </w:p>
        </w:tc>
      </w:tr>
      <w:tr w:rsidR="00CD5946" w14:paraId="252CA01F" w14:textId="77777777">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422BF96A" w14:textId="77777777" w:rsidR="00CD5946" w:rsidRDefault="00000000">
            <w:pPr>
              <w:spacing w:before="20" w:after="20" w:line="252" w:lineRule="auto"/>
            </w:pPr>
            <w:r>
              <w:rPr>
                <w:rFonts w:ascii="Arial" w:eastAsia="Arial" w:hAnsi="Arial"/>
                <w:color w:val="333333"/>
                <w:sz w:val="20"/>
                <w:szCs w:val="20"/>
              </w:rPr>
              <w:t>Decision tree — dedicated vs shared facility (HBEL)</w:t>
            </w:r>
          </w:p>
        </w:tc>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2C0C40DC" w14:textId="77777777" w:rsidR="00CD5946" w:rsidRDefault="00000000">
            <w:pPr>
              <w:spacing w:before="20" w:after="20" w:line="252" w:lineRule="auto"/>
            </w:pPr>
            <w:r>
              <w:rPr>
                <w:rFonts w:ascii="Arial" w:eastAsia="Arial" w:hAnsi="Arial"/>
                <w:color w:val="333333"/>
                <w:sz w:val="20"/>
                <w:szCs w:val="20"/>
              </w:rPr>
              <w:t>Ch.5; Annex A-CCS; Annex 15</w:t>
            </w:r>
          </w:p>
        </w:tc>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6D20FA3B" w14:textId="77777777" w:rsidR="00CD5946" w:rsidRDefault="00000000">
            <w:pPr>
              <w:spacing w:before="20" w:after="20" w:line="252" w:lineRule="auto"/>
            </w:pPr>
            <w:r>
              <w:rPr>
                <w:rFonts w:ascii="Arial" w:eastAsia="Arial" w:hAnsi="Arial"/>
                <w:color w:val="333333"/>
                <w:sz w:val="20"/>
                <w:szCs w:val="20"/>
              </w:rPr>
              <w:t>Informative</w:t>
            </w:r>
          </w:p>
        </w:tc>
      </w:tr>
      <w:tr w:rsidR="00CD5946" w14:paraId="762089E8" w14:textId="77777777">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3C079450" w14:textId="77777777" w:rsidR="00CD5946" w:rsidRDefault="00000000">
            <w:pPr>
              <w:spacing w:before="20" w:after="20" w:line="252" w:lineRule="auto"/>
            </w:pPr>
            <w:r>
              <w:rPr>
                <w:rFonts w:ascii="Arial" w:eastAsia="Arial" w:hAnsi="Arial"/>
                <w:color w:val="333333"/>
                <w:sz w:val="20"/>
                <w:szCs w:val="20"/>
              </w:rPr>
              <w:t>Worked example — HBEL → PDE → MACO</w:t>
            </w:r>
          </w:p>
        </w:tc>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09D18CBE" w14:textId="77777777" w:rsidR="00CD5946" w:rsidRDefault="00000000">
            <w:pPr>
              <w:spacing w:before="20" w:after="20" w:line="252" w:lineRule="auto"/>
            </w:pPr>
            <w:r>
              <w:rPr>
                <w:rFonts w:ascii="Arial" w:eastAsia="Arial" w:hAnsi="Arial"/>
                <w:color w:val="333333"/>
                <w:sz w:val="20"/>
                <w:szCs w:val="20"/>
              </w:rPr>
              <w:t>Annex 15; Appendix B</w:t>
            </w:r>
          </w:p>
        </w:tc>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47111A08" w14:textId="77777777" w:rsidR="00CD5946" w:rsidRDefault="00000000">
            <w:pPr>
              <w:spacing w:before="20" w:after="20" w:line="252" w:lineRule="auto"/>
            </w:pPr>
            <w:r>
              <w:rPr>
                <w:rFonts w:ascii="Arial" w:eastAsia="Arial" w:hAnsi="Arial"/>
                <w:color w:val="333333"/>
                <w:sz w:val="20"/>
                <w:szCs w:val="20"/>
              </w:rPr>
              <w:t>Informative</w:t>
            </w:r>
          </w:p>
        </w:tc>
      </w:tr>
      <w:tr w:rsidR="00CD5946" w14:paraId="0D1E6582" w14:textId="77777777">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595783CA" w14:textId="77777777" w:rsidR="00CD5946" w:rsidRDefault="00000000">
            <w:pPr>
              <w:spacing w:before="20" w:after="20" w:line="252" w:lineRule="auto"/>
            </w:pPr>
            <w:r>
              <w:rPr>
                <w:rFonts w:ascii="Arial" w:eastAsia="Arial" w:hAnsi="Arial"/>
                <w:color w:val="333333"/>
                <w:sz w:val="20"/>
                <w:szCs w:val="20"/>
              </w:rPr>
              <w:t>Arab Annex A-AI — AI/ML governance</w:t>
            </w:r>
          </w:p>
        </w:tc>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0D67B5A0" w14:textId="77777777" w:rsidR="00CD5946" w:rsidRDefault="00000000">
            <w:pPr>
              <w:spacing w:before="20" w:after="20" w:line="252" w:lineRule="auto"/>
            </w:pPr>
            <w:r>
              <w:rPr>
                <w:rFonts w:ascii="Arial" w:eastAsia="Arial" w:hAnsi="Arial"/>
                <w:color w:val="333333"/>
                <w:sz w:val="20"/>
                <w:szCs w:val="20"/>
              </w:rPr>
              <w:t>Annex 11; PQS; QRM</w:t>
            </w:r>
          </w:p>
        </w:tc>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5EAF7B69" w14:textId="77777777" w:rsidR="00CD5946" w:rsidRDefault="00000000">
            <w:pPr>
              <w:spacing w:before="20" w:after="20" w:line="252" w:lineRule="auto"/>
            </w:pPr>
            <w:r>
              <w:rPr>
                <w:rFonts w:ascii="Arial" w:eastAsia="Arial" w:hAnsi="Arial"/>
                <w:color w:val="333333"/>
                <w:sz w:val="20"/>
                <w:szCs w:val="20"/>
              </w:rPr>
              <w:t>Anticipatory</w:t>
            </w:r>
          </w:p>
        </w:tc>
      </w:tr>
      <w:tr w:rsidR="00CD5946" w14:paraId="7DF92293" w14:textId="77777777">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6228D117" w14:textId="77777777" w:rsidR="00CD5946" w:rsidRDefault="00000000">
            <w:pPr>
              <w:spacing w:before="20" w:after="20" w:line="252" w:lineRule="auto"/>
            </w:pPr>
            <w:r>
              <w:rPr>
                <w:rFonts w:ascii="Arial" w:eastAsia="Arial" w:hAnsi="Arial"/>
                <w:color w:val="333333"/>
                <w:sz w:val="20"/>
                <w:szCs w:val="20"/>
              </w:rPr>
              <w:t>Reliance &amp; Mutual-Recognition framework</w:t>
            </w:r>
          </w:p>
        </w:tc>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52EA4748" w14:textId="77777777" w:rsidR="00CD5946" w:rsidRDefault="00000000">
            <w:pPr>
              <w:spacing w:before="20" w:after="20" w:line="252" w:lineRule="auto"/>
            </w:pPr>
            <w:r>
              <w:rPr>
                <w:rFonts w:ascii="Arial" w:eastAsia="Arial" w:hAnsi="Arial"/>
                <w:color w:val="333333"/>
                <w:sz w:val="20"/>
                <w:szCs w:val="20"/>
              </w:rPr>
              <w:t>Annex 16; Annex 21</w:t>
            </w:r>
          </w:p>
        </w:tc>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00BD6C87" w14:textId="77777777" w:rsidR="00CD5946" w:rsidRDefault="00000000">
            <w:pPr>
              <w:spacing w:before="20" w:after="20" w:line="252" w:lineRule="auto"/>
            </w:pPr>
            <w:r>
              <w:rPr>
                <w:rFonts w:ascii="Arial" w:eastAsia="Arial" w:hAnsi="Arial"/>
                <w:color w:val="333333"/>
                <w:sz w:val="20"/>
                <w:szCs w:val="20"/>
              </w:rPr>
              <w:t>Informative</w:t>
            </w:r>
          </w:p>
        </w:tc>
      </w:tr>
    </w:tbl>
    <w:p w14:paraId="59B04FB2" w14:textId="77777777" w:rsidR="00CD5946" w:rsidRDefault="00000000">
      <w:pPr>
        <w:pStyle w:val="Heading2"/>
        <w:spacing w:before="220" w:after="100"/>
      </w:pPr>
      <w:bookmarkStart w:id="294" w:name="__RefHeading___Toc28271_1371984443"/>
      <w:bookmarkEnd w:id="294"/>
      <w:r>
        <w:rPr>
          <w:sz w:val="25"/>
          <w:szCs w:val="25"/>
        </w:rPr>
        <w:t xml:space="preserve">P4.1  Per-chapter apparatus (illustrated on Chapter 1 — PQS)  ·  </w:t>
      </w:r>
      <w:r>
        <w:rPr>
          <w:sz w:val="25"/>
          <w:szCs w:val="25"/>
          <w:rtl/>
        </w:rPr>
        <w:t xml:space="preserve">أدوات كلّ فصل (موضّحة على الفصل </w:t>
      </w:r>
      <w:r>
        <w:rPr>
          <w:sz w:val="25"/>
          <w:szCs w:val="25"/>
        </w:rPr>
        <w:t>1</w:t>
      </w:r>
      <w:r>
        <w:rPr>
          <w:sz w:val="25"/>
          <w:szCs w:val="25"/>
          <w:rtl/>
        </w:rPr>
        <w:t>)</w:t>
      </w:r>
    </w:p>
    <w:p w14:paraId="5BEE536D" w14:textId="77777777" w:rsidR="00CD5946" w:rsidRDefault="00000000">
      <w:pPr>
        <w:pBdr>
          <w:top w:val="single" w:sz="4" w:space="4" w:color="B6892E"/>
          <w:left w:val="single" w:sz="18" w:space="4" w:color="B6892E"/>
          <w:bottom w:val="single" w:sz="4" w:space="4" w:color="B6892E"/>
          <w:right w:val="single" w:sz="4" w:space="4" w:color="B6892E"/>
        </w:pBdr>
        <w:shd w:val="clear" w:color="auto" w:fill="F6EEDD"/>
        <w:spacing w:before="140" w:after="0" w:line="266" w:lineRule="auto"/>
      </w:pPr>
      <w:r>
        <w:rPr>
          <w:rFonts w:ascii="Arial" w:eastAsia="Arial" w:hAnsi="Arial"/>
          <w:b/>
          <w:bCs/>
          <w:color w:val="B6892E"/>
          <w:sz w:val="22"/>
          <w:szCs w:val="22"/>
        </w:rPr>
        <w:t xml:space="preserve">◆ Learning outcomes   </w:t>
      </w:r>
      <w:r>
        <w:rPr>
          <w:rFonts w:ascii="Arial" w:eastAsia="Arial" w:hAnsi="Arial"/>
          <w:b/>
          <w:bCs/>
          <w:color w:val="B6892E"/>
          <w:sz w:val="22"/>
          <w:szCs w:val="22"/>
          <w:rtl/>
        </w:rPr>
        <w:t>مخرجات التعلّم</w:t>
      </w:r>
    </w:p>
    <w:p w14:paraId="61036EC9" w14:textId="77777777" w:rsidR="00CD5946" w:rsidRDefault="00000000">
      <w:pPr>
        <w:spacing w:after="60" w:line="266" w:lineRule="auto"/>
      </w:pPr>
      <w:r>
        <w:rPr>
          <w:rFonts w:ascii="Arial" w:eastAsia="Arial" w:hAnsi="Arial"/>
          <w:color w:val="333333"/>
        </w:rPr>
        <w:t>On completing this chapter the reader can: explain the purpose of a Pharmaceutical Quality System (PQS) and senior management’s accountability for it; describe how it spans development, transfer, commercial manufacture and discontinuation; outline the content and cadence of the Product Quality Review; apply Quality Risk Management (ICH Q9(R1)) and knowledge management; and identify the role of CAPA, change management and management review in continual improvement.</w:t>
      </w:r>
    </w:p>
    <w:p w14:paraId="5BBE0E54" w14:textId="77777777" w:rsidR="00CD5946" w:rsidRDefault="00000000">
      <w:pPr>
        <w:bidi/>
        <w:spacing w:after="150" w:line="300" w:lineRule="auto"/>
        <w:jc w:val="right"/>
      </w:pPr>
      <w:r>
        <w:rPr>
          <w:rFonts w:ascii="Arial" w:eastAsia="Arial" w:hAnsi="Arial"/>
          <w:color w:val="333333"/>
          <w:sz w:val="20"/>
          <w:szCs w:val="20"/>
          <w:rtl/>
        </w:rPr>
        <w:t>عند إتمام هذا الفصل يستطيع القارئ أن: يشرح غرض نظام الجودة الصيدلاني ومسؤولية الإدارة العليا عنه؛ ويصف امتداده عبر التطوير والنقل والتصنيع ووقف المنتج؛ ويبيّن المراجعة الدورية لجودة المنتج؛ ويطبّق إدارة المخاطر والمعرفة؛ ويحدّد دور الإجراءات التصحيحية وإدارة التغيير ومراجعة الإدارة في التحسين المستمر.</w:t>
      </w:r>
    </w:p>
    <w:p w14:paraId="25388947" w14:textId="77777777" w:rsidR="00CD5946" w:rsidRDefault="00000000">
      <w:pPr>
        <w:pBdr>
          <w:top w:val="single" w:sz="4" w:space="4" w:color="15512F"/>
          <w:left w:val="single" w:sz="18" w:space="4" w:color="15512F"/>
          <w:bottom w:val="single" w:sz="4" w:space="4" w:color="15512F"/>
          <w:right w:val="single" w:sz="4" w:space="4" w:color="15512F"/>
        </w:pBdr>
        <w:shd w:val="clear" w:color="auto" w:fill="E4EEE9"/>
        <w:spacing w:before="140" w:after="0" w:line="266" w:lineRule="auto"/>
      </w:pPr>
      <w:r>
        <w:rPr>
          <w:rFonts w:ascii="Arial" w:eastAsia="Arial" w:hAnsi="Arial"/>
          <w:b/>
          <w:bCs/>
          <w:color w:val="15512F"/>
          <w:sz w:val="22"/>
          <w:szCs w:val="22"/>
        </w:rPr>
        <w:t xml:space="preserve">◆ How an assessor reads this chapter   </w:t>
      </w:r>
      <w:r>
        <w:rPr>
          <w:rFonts w:ascii="Arial" w:eastAsia="Arial" w:hAnsi="Arial"/>
          <w:b/>
          <w:bCs/>
          <w:color w:val="15512F"/>
          <w:sz w:val="22"/>
          <w:szCs w:val="22"/>
          <w:rtl/>
        </w:rPr>
        <w:t>ما الذي يبحث عنه المُقيّم</w:t>
      </w:r>
    </w:p>
    <w:p w14:paraId="04F73DB1" w14:textId="77777777" w:rsidR="00CD5946" w:rsidRDefault="00000000">
      <w:pPr>
        <w:spacing w:after="40" w:line="266" w:lineRule="auto"/>
      </w:pPr>
      <w:r>
        <w:rPr>
          <w:rFonts w:ascii="Arial" w:eastAsia="Arial" w:hAnsi="Arial"/>
          <w:i/>
          <w:iCs/>
          <w:color w:val="666666"/>
          <w:sz w:val="18"/>
          <w:szCs w:val="18"/>
        </w:rPr>
        <w:t>Informative — not an additional requirement. The clause cited is where the expectation is binding.</w:t>
      </w:r>
    </w:p>
    <w:tbl>
      <w:tblPr>
        <w:tblW w:w="9360" w:type="dxa"/>
        <w:tblInd w:w="103" w:type="dxa"/>
        <w:tblLayout w:type="fixed"/>
        <w:tblLook w:val="04A0" w:firstRow="1" w:lastRow="0" w:firstColumn="1" w:lastColumn="0" w:noHBand="0" w:noVBand="1"/>
      </w:tblPr>
      <w:tblGrid>
        <w:gridCol w:w="4680"/>
        <w:gridCol w:w="4680"/>
      </w:tblGrid>
      <w:tr w:rsidR="00CD5946" w14:paraId="44E96B62" w14:textId="77777777">
        <w:tc>
          <w:tcPr>
            <w:tcW w:w="4680" w:type="dxa"/>
            <w:tcBorders>
              <w:top w:val="single" w:sz="4" w:space="0" w:color="CCCCCC"/>
              <w:left w:val="single" w:sz="4" w:space="0" w:color="CCCCCC"/>
              <w:bottom w:val="single" w:sz="4" w:space="0" w:color="CCCCCC"/>
              <w:right w:val="single" w:sz="4" w:space="0" w:color="CCCCCC"/>
            </w:tcBorders>
            <w:shd w:val="clear" w:color="auto" w:fill="15512F"/>
          </w:tcPr>
          <w:p w14:paraId="1C065B10" w14:textId="77777777" w:rsidR="00CD5946" w:rsidRDefault="00000000">
            <w:pPr>
              <w:spacing w:before="20" w:after="20" w:line="252" w:lineRule="auto"/>
            </w:pPr>
            <w:r>
              <w:rPr>
                <w:rFonts w:ascii="Arial" w:eastAsia="Arial" w:hAnsi="Arial"/>
                <w:b/>
                <w:bCs/>
                <w:color w:val="FFFFFF"/>
                <w:sz w:val="20"/>
                <w:szCs w:val="20"/>
              </w:rPr>
              <w:t>What the assessor looks for</w:t>
            </w:r>
          </w:p>
        </w:tc>
        <w:tc>
          <w:tcPr>
            <w:tcW w:w="4680" w:type="dxa"/>
            <w:tcBorders>
              <w:top w:val="single" w:sz="4" w:space="0" w:color="CCCCCC"/>
              <w:left w:val="single" w:sz="4" w:space="0" w:color="CCCCCC"/>
              <w:bottom w:val="single" w:sz="4" w:space="0" w:color="CCCCCC"/>
              <w:right w:val="single" w:sz="4" w:space="0" w:color="CCCCCC"/>
            </w:tcBorders>
            <w:shd w:val="clear" w:color="auto" w:fill="15512F"/>
          </w:tcPr>
          <w:p w14:paraId="3AE02B49" w14:textId="77777777" w:rsidR="00CD5946" w:rsidRDefault="00000000">
            <w:pPr>
              <w:spacing w:before="20" w:after="20" w:line="252" w:lineRule="auto"/>
              <w:jc w:val="center"/>
            </w:pPr>
            <w:r>
              <w:rPr>
                <w:rFonts w:ascii="Arial" w:eastAsia="Arial" w:hAnsi="Arial"/>
                <w:b/>
                <w:bCs/>
                <w:color w:val="FFFFFF"/>
                <w:sz w:val="20"/>
                <w:szCs w:val="20"/>
              </w:rPr>
              <w:t>Clause</w:t>
            </w:r>
          </w:p>
        </w:tc>
      </w:tr>
      <w:tr w:rsidR="00CD5946" w14:paraId="08EC9FE0" w14:textId="77777777">
        <w:tc>
          <w:tcPr>
            <w:tcW w:w="4680" w:type="dxa"/>
            <w:tcBorders>
              <w:top w:val="single" w:sz="4" w:space="0" w:color="CCCCCC"/>
              <w:left w:val="single" w:sz="4" w:space="0" w:color="CCCCCC"/>
              <w:bottom w:val="single" w:sz="4" w:space="0" w:color="CCCCCC"/>
              <w:right w:val="single" w:sz="4" w:space="0" w:color="CCCCCC"/>
            </w:tcBorders>
            <w:shd w:val="clear" w:color="auto" w:fill="FFFFFF"/>
          </w:tcPr>
          <w:p w14:paraId="49C95C9A" w14:textId="77777777" w:rsidR="00CD5946" w:rsidRDefault="00000000">
            <w:pPr>
              <w:spacing w:before="20" w:after="20" w:line="252" w:lineRule="auto"/>
            </w:pPr>
            <w:r>
              <w:rPr>
                <w:rFonts w:ascii="Arial" w:eastAsia="Arial" w:hAnsi="Arial"/>
                <w:color w:val="333333"/>
                <w:sz w:val="20"/>
                <w:szCs w:val="20"/>
              </w:rPr>
              <w:t>Management accountability is demonstrable — a quality policy, defined roles/authorities, resourced QA, and minuted management reviews with actions closed.</w:t>
            </w:r>
          </w:p>
        </w:tc>
        <w:tc>
          <w:tcPr>
            <w:tcW w:w="4680" w:type="dxa"/>
            <w:tcBorders>
              <w:top w:val="single" w:sz="4" w:space="0" w:color="CCCCCC"/>
              <w:left w:val="single" w:sz="4" w:space="0" w:color="CCCCCC"/>
              <w:bottom w:val="single" w:sz="4" w:space="0" w:color="CCCCCC"/>
              <w:right w:val="single" w:sz="4" w:space="0" w:color="CCCCCC"/>
            </w:tcBorders>
            <w:shd w:val="clear" w:color="auto" w:fill="FFFFFF"/>
          </w:tcPr>
          <w:p w14:paraId="4CF25D28" w14:textId="77777777" w:rsidR="00CD5946" w:rsidRDefault="00000000">
            <w:pPr>
              <w:spacing w:before="20" w:after="20" w:line="252" w:lineRule="auto"/>
              <w:jc w:val="center"/>
            </w:pPr>
            <w:r>
              <w:rPr>
                <w:rFonts w:ascii="Arial" w:eastAsia="Arial" w:hAnsi="Arial"/>
                <w:b/>
                <w:bCs/>
                <w:color w:val="333333"/>
                <w:sz w:val="20"/>
                <w:szCs w:val="20"/>
              </w:rPr>
              <w:t>§1.1</w:t>
            </w:r>
          </w:p>
        </w:tc>
      </w:tr>
      <w:tr w:rsidR="00CD5946" w14:paraId="1435567A" w14:textId="77777777">
        <w:tc>
          <w:tcPr>
            <w:tcW w:w="4680" w:type="dxa"/>
            <w:tcBorders>
              <w:top w:val="single" w:sz="4" w:space="0" w:color="CCCCCC"/>
              <w:left w:val="single" w:sz="4" w:space="0" w:color="CCCCCC"/>
              <w:bottom w:val="single" w:sz="4" w:space="0" w:color="CCCCCC"/>
              <w:right w:val="single" w:sz="4" w:space="0" w:color="CCCCCC"/>
            </w:tcBorders>
            <w:shd w:val="clear" w:color="auto" w:fill="F2F2F2"/>
          </w:tcPr>
          <w:p w14:paraId="78BE0DC4" w14:textId="77777777" w:rsidR="00CD5946" w:rsidRDefault="00000000">
            <w:pPr>
              <w:spacing w:before="20" w:after="20" w:line="252" w:lineRule="auto"/>
            </w:pPr>
            <w:r>
              <w:rPr>
                <w:rFonts w:ascii="Arial" w:eastAsia="Arial" w:hAnsi="Arial"/>
                <w:color w:val="333333"/>
                <w:sz w:val="20"/>
                <w:szCs w:val="20"/>
              </w:rPr>
              <w:lastRenderedPageBreak/>
              <w:t>The PQS is documented as a system, not a binder of SOPs — process map, interactions and ownership are visible.</w:t>
            </w:r>
          </w:p>
        </w:tc>
        <w:tc>
          <w:tcPr>
            <w:tcW w:w="4680" w:type="dxa"/>
            <w:tcBorders>
              <w:top w:val="single" w:sz="4" w:space="0" w:color="CCCCCC"/>
              <w:left w:val="single" w:sz="4" w:space="0" w:color="CCCCCC"/>
              <w:bottom w:val="single" w:sz="4" w:space="0" w:color="CCCCCC"/>
              <w:right w:val="single" w:sz="4" w:space="0" w:color="CCCCCC"/>
            </w:tcBorders>
            <w:shd w:val="clear" w:color="auto" w:fill="F2F2F2"/>
          </w:tcPr>
          <w:p w14:paraId="2E231DA7" w14:textId="77777777" w:rsidR="00CD5946" w:rsidRDefault="00000000">
            <w:pPr>
              <w:spacing w:before="20" w:after="20" w:line="252" w:lineRule="auto"/>
              <w:jc w:val="center"/>
            </w:pPr>
            <w:r>
              <w:rPr>
                <w:rFonts w:ascii="Arial" w:eastAsia="Arial" w:hAnsi="Arial"/>
                <w:b/>
                <w:bCs/>
                <w:color w:val="333333"/>
                <w:sz w:val="20"/>
                <w:szCs w:val="20"/>
              </w:rPr>
              <w:t>§1.1</w:t>
            </w:r>
          </w:p>
        </w:tc>
      </w:tr>
      <w:tr w:rsidR="00CD5946" w14:paraId="3E1447A3" w14:textId="77777777">
        <w:tc>
          <w:tcPr>
            <w:tcW w:w="4680" w:type="dxa"/>
            <w:tcBorders>
              <w:top w:val="single" w:sz="4" w:space="0" w:color="CCCCCC"/>
              <w:left w:val="single" w:sz="4" w:space="0" w:color="CCCCCC"/>
              <w:bottom w:val="single" w:sz="4" w:space="0" w:color="CCCCCC"/>
              <w:right w:val="single" w:sz="4" w:space="0" w:color="CCCCCC"/>
            </w:tcBorders>
            <w:shd w:val="clear" w:color="auto" w:fill="FFFFFF"/>
          </w:tcPr>
          <w:p w14:paraId="5D4352BF" w14:textId="77777777" w:rsidR="00CD5946" w:rsidRDefault="00000000">
            <w:pPr>
              <w:spacing w:before="20" w:after="20" w:line="252" w:lineRule="auto"/>
            </w:pPr>
            <w:r>
              <w:rPr>
                <w:rFonts w:ascii="Arial" w:eastAsia="Arial" w:hAnsi="Arial"/>
                <w:color w:val="333333"/>
                <w:sz w:val="20"/>
                <w:szCs w:val="20"/>
              </w:rPr>
              <w:t>The Product Quality Review is performed to schedule, is genuinely evaluative (trends, not tabulation) and drives CAPA.</w:t>
            </w:r>
          </w:p>
        </w:tc>
        <w:tc>
          <w:tcPr>
            <w:tcW w:w="4680" w:type="dxa"/>
            <w:tcBorders>
              <w:top w:val="single" w:sz="4" w:space="0" w:color="CCCCCC"/>
              <w:left w:val="single" w:sz="4" w:space="0" w:color="CCCCCC"/>
              <w:bottom w:val="single" w:sz="4" w:space="0" w:color="CCCCCC"/>
              <w:right w:val="single" w:sz="4" w:space="0" w:color="CCCCCC"/>
            </w:tcBorders>
            <w:shd w:val="clear" w:color="auto" w:fill="FFFFFF"/>
          </w:tcPr>
          <w:p w14:paraId="7ACA4DB6" w14:textId="77777777" w:rsidR="00CD5946" w:rsidRDefault="00000000">
            <w:pPr>
              <w:spacing w:before="20" w:after="20" w:line="252" w:lineRule="auto"/>
              <w:jc w:val="center"/>
            </w:pPr>
            <w:r>
              <w:rPr>
                <w:rFonts w:ascii="Arial" w:eastAsia="Arial" w:hAnsi="Arial"/>
                <w:b/>
                <w:bCs/>
                <w:color w:val="333333"/>
                <w:sz w:val="20"/>
                <w:szCs w:val="20"/>
              </w:rPr>
              <w:t>§1.4</w:t>
            </w:r>
          </w:p>
        </w:tc>
      </w:tr>
      <w:tr w:rsidR="00CD5946" w14:paraId="3144227E" w14:textId="77777777">
        <w:tc>
          <w:tcPr>
            <w:tcW w:w="4680" w:type="dxa"/>
            <w:tcBorders>
              <w:top w:val="single" w:sz="4" w:space="0" w:color="CCCCCC"/>
              <w:left w:val="single" w:sz="4" w:space="0" w:color="CCCCCC"/>
              <w:bottom w:val="single" w:sz="4" w:space="0" w:color="CCCCCC"/>
              <w:right w:val="single" w:sz="4" w:space="0" w:color="CCCCCC"/>
            </w:tcBorders>
            <w:shd w:val="clear" w:color="auto" w:fill="F2F2F2"/>
          </w:tcPr>
          <w:p w14:paraId="2B0D1042" w14:textId="77777777" w:rsidR="00CD5946" w:rsidRDefault="00000000">
            <w:pPr>
              <w:spacing w:before="20" w:after="20" w:line="252" w:lineRule="auto"/>
            </w:pPr>
            <w:r>
              <w:rPr>
                <w:rFonts w:ascii="Arial" w:eastAsia="Arial" w:hAnsi="Arial"/>
                <w:color w:val="333333"/>
                <w:sz w:val="20"/>
                <w:szCs w:val="20"/>
              </w:rPr>
              <w:t>QRM is applied prospectively to real decisions (cross-contamination, change, supplier) — risk assessments are dated, owned and reviewed.</w:t>
            </w:r>
          </w:p>
        </w:tc>
        <w:tc>
          <w:tcPr>
            <w:tcW w:w="4680" w:type="dxa"/>
            <w:tcBorders>
              <w:top w:val="single" w:sz="4" w:space="0" w:color="CCCCCC"/>
              <w:left w:val="single" w:sz="4" w:space="0" w:color="CCCCCC"/>
              <w:bottom w:val="single" w:sz="4" w:space="0" w:color="CCCCCC"/>
              <w:right w:val="single" w:sz="4" w:space="0" w:color="CCCCCC"/>
            </w:tcBorders>
            <w:shd w:val="clear" w:color="auto" w:fill="F2F2F2"/>
          </w:tcPr>
          <w:p w14:paraId="2F3577DD" w14:textId="77777777" w:rsidR="00CD5946" w:rsidRDefault="00000000">
            <w:pPr>
              <w:spacing w:before="20" w:after="20" w:line="252" w:lineRule="auto"/>
              <w:jc w:val="center"/>
            </w:pPr>
            <w:r>
              <w:rPr>
                <w:rFonts w:ascii="Arial" w:eastAsia="Arial" w:hAnsi="Arial"/>
                <w:b/>
                <w:bCs/>
                <w:color w:val="333333"/>
                <w:sz w:val="20"/>
                <w:szCs w:val="20"/>
              </w:rPr>
              <w:t>§1.5</w:t>
            </w:r>
          </w:p>
        </w:tc>
      </w:tr>
      <w:tr w:rsidR="00CD5946" w14:paraId="5BA5AE36" w14:textId="77777777">
        <w:tc>
          <w:tcPr>
            <w:tcW w:w="4680" w:type="dxa"/>
            <w:tcBorders>
              <w:top w:val="single" w:sz="4" w:space="0" w:color="CCCCCC"/>
              <w:left w:val="single" w:sz="4" w:space="0" w:color="CCCCCC"/>
              <w:bottom w:val="single" w:sz="4" w:space="0" w:color="CCCCCC"/>
              <w:right w:val="single" w:sz="4" w:space="0" w:color="CCCCCC"/>
            </w:tcBorders>
            <w:shd w:val="clear" w:color="auto" w:fill="FFFFFF"/>
          </w:tcPr>
          <w:p w14:paraId="1DEC0102" w14:textId="77777777" w:rsidR="00CD5946" w:rsidRDefault="00000000">
            <w:pPr>
              <w:spacing w:before="20" w:after="20" w:line="252" w:lineRule="auto"/>
            </w:pPr>
            <w:r>
              <w:rPr>
                <w:rFonts w:ascii="Arial" w:eastAsia="Arial" w:hAnsi="Arial"/>
                <w:color w:val="333333"/>
                <w:sz w:val="20"/>
                <w:szCs w:val="20"/>
              </w:rPr>
              <w:t>CAPA effectiveness is checked and recurrence monitored; change management links to validation status.</w:t>
            </w:r>
          </w:p>
        </w:tc>
        <w:tc>
          <w:tcPr>
            <w:tcW w:w="4680" w:type="dxa"/>
            <w:tcBorders>
              <w:top w:val="single" w:sz="4" w:space="0" w:color="CCCCCC"/>
              <w:left w:val="single" w:sz="4" w:space="0" w:color="CCCCCC"/>
              <w:bottom w:val="single" w:sz="4" w:space="0" w:color="CCCCCC"/>
              <w:right w:val="single" w:sz="4" w:space="0" w:color="CCCCCC"/>
            </w:tcBorders>
            <w:shd w:val="clear" w:color="auto" w:fill="FFFFFF"/>
          </w:tcPr>
          <w:p w14:paraId="01EF7D47" w14:textId="77777777" w:rsidR="00CD5946" w:rsidRDefault="00000000">
            <w:pPr>
              <w:spacing w:before="20" w:after="20" w:line="252" w:lineRule="auto"/>
              <w:jc w:val="center"/>
            </w:pPr>
            <w:r>
              <w:rPr>
                <w:rFonts w:ascii="Arial" w:eastAsia="Arial" w:hAnsi="Arial"/>
                <w:b/>
                <w:bCs/>
                <w:color w:val="333333"/>
                <w:sz w:val="20"/>
                <w:szCs w:val="20"/>
              </w:rPr>
              <w:t>§1.1</w:t>
            </w:r>
          </w:p>
        </w:tc>
      </w:tr>
      <w:tr w:rsidR="00CD5946" w14:paraId="3C19DC74" w14:textId="77777777">
        <w:tc>
          <w:tcPr>
            <w:tcW w:w="4680" w:type="dxa"/>
            <w:tcBorders>
              <w:top w:val="single" w:sz="4" w:space="0" w:color="CCCCCC"/>
              <w:left w:val="single" w:sz="4" w:space="0" w:color="CCCCCC"/>
              <w:bottom w:val="single" w:sz="4" w:space="0" w:color="CCCCCC"/>
              <w:right w:val="single" w:sz="4" w:space="0" w:color="CCCCCC"/>
            </w:tcBorders>
            <w:shd w:val="clear" w:color="auto" w:fill="F2F2F2"/>
          </w:tcPr>
          <w:p w14:paraId="7E1927E8" w14:textId="77777777" w:rsidR="00CD5946" w:rsidRDefault="00000000">
            <w:pPr>
              <w:spacing w:before="20" w:after="20" w:line="252" w:lineRule="auto"/>
            </w:pPr>
            <w:r>
              <w:rPr>
                <w:rFonts w:ascii="Arial" w:eastAsia="Arial" w:hAnsi="Arial"/>
                <w:color w:val="333333"/>
                <w:sz w:val="20"/>
                <w:szCs w:val="20"/>
              </w:rPr>
              <w:t>Knowledge management is evident — product and process knowledge is captured across transfer and lifecycle.</w:t>
            </w:r>
          </w:p>
        </w:tc>
        <w:tc>
          <w:tcPr>
            <w:tcW w:w="4680" w:type="dxa"/>
            <w:tcBorders>
              <w:top w:val="single" w:sz="4" w:space="0" w:color="CCCCCC"/>
              <w:left w:val="single" w:sz="4" w:space="0" w:color="CCCCCC"/>
              <w:bottom w:val="single" w:sz="4" w:space="0" w:color="CCCCCC"/>
              <w:right w:val="single" w:sz="4" w:space="0" w:color="CCCCCC"/>
            </w:tcBorders>
            <w:shd w:val="clear" w:color="auto" w:fill="F2F2F2"/>
          </w:tcPr>
          <w:p w14:paraId="261CDB68" w14:textId="77777777" w:rsidR="00CD5946" w:rsidRDefault="00000000">
            <w:pPr>
              <w:spacing w:before="20" w:after="20" w:line="252" w:lineRule="auto"/>
              <w:jc w:val="center"/>
            </w:pPr>
            <w:r>
              <w:rPr>
                <w:rFonts w:ascii="Arial" w:eastAsia="Arial" w:hAnsi="Arial"/>
                <w:b/>
                <w:bCs/>
                <w:color w:val="333333"/>
                <w:sz w:val="20"/>
                <w:szCs w:val="20"/>
              </w:rPr>
              <w:t>§1.1</w:t>
            </w:r>
          </w:p>
        </w:tc>
      </w:tr>
    </w:tbl>
    <w:p w14:paraId="472B2668" w14:textId="77777777" w:rsidR="00CD5946" w:rsidRDefault="00000000">
      <w:pPr>
        <w:bidi/>
        <w:spacing w:after="150" w:line="300" w:lineRule="auto"/>
        <w:jc w:val="right"/>
      </w:pPr>
      <w:r>
        <w:rPr>
          <w:rFonts w:ascii="Arial" w:eastAsia="Arial" w:hAnsi="Arial"/>
          <w:color w:val="333333"/>
          <w:sz w:val="20"/>
          <w:szCs w:val="20"/>
          <w:rtl/>
        </w:rPr>
        <w:t>ما الذي يبحث عنه المُقيّم (إرشادي): قابلية إثبات مسؤولية الإدارة عبر سياسة جودة وأدوار وصلاحيات وضمان جودة مزوّد بالموارد ومراجعات إدارة موثّقة؛ وتوثيق النظام كنظام لا كمجلّد إجراءات؛ وأداء المراجعة الدورية في موعدها بطابع تقييمي؛ وتطبيق إدارة المخاطر استباقياً؛ والتحقّق من فاعلية الإجراءات التصحيحية؛ ووضوح إدارة المعرفة عبر دورة الحياة.</w:t>
      </w:r>
    </w:p>
    <w:p w14:paraId="5D6D3C92" w14:textId="77777777" w:rsidR="00CD5946" w:rsidRDefault="00000000">
      <w:pPr>
        <w:pBdr>
          <w:top w:val="single" w:sz="4" w:space="4" w:color="B6892E"/>
          <w:left w:val="single" w:sz="18" w:space="4" w:color="B6892E"/>
          <w:bottom w:val="single" w:sz="4" w:space="4" w:color="B6892E"/>
          <w:right w:val="single" w:sz="4" w:space="4" w:color="B6892E"/>
        </w:pBdr>
        <w:shd w:val="clear" w:color="auto" w:fill="F6EEDD"/>
        <w:spacing w:before="140" w:after="0" w:line="266" w:lineRule="auto"/>
      </w:pPr>
      <w:r>
        <w:rPr>
          <w:rFonts w:ascii="Arial" w:eastAsia="Arial" w:hAnsi="Arial"/>
          <w:b/>
          <w:bCs/>
          <w:color w:val="B6892E"/>
          <w:sz w:val="22"/>
          <w:szCs w:val="22"/>
        </w:rPr>
        <w:t xml:space="preserve">◆ Chapter in five points   </w:t>
      </w:r>
      <w:r>
        <w:rPr>
          <w:rFonts w:ascii="Arial" w:eastAsia="Arial" w:hAnsi="Arial"/>
          <w:b/>
          <w:bCs/>
          <w:color w:val="B6892E"/>
          <w:sz w:val="22"/>
          <w:szCs w:val="22"/>
          <w:rtl/>
        </w:rPr>
        <w:t>الفصل في خمس نقاط</w:t>
      </w:r>
    </w:p>
    <w:p w14:paraId="42B9903F" w14:textId="77777777" w:rsidR="00CD5946" w:rsidRDefault="00000000">
      <w:pPr>
        <w:spacing w:after="60" w:line="266" w:lineRule="auto"/>
      </w:pPr>
      <w:r>
        <w:rPr>
          <w:rFonts w:ascii="Arial" w:eastAsia="Arial" w:hAnsi="Arial"/>
          <w:color w:val="333333"/>
        </w:rPr>
        <w:t>Senior management owns the PQS · the PQS spans the lifecycle · the PQR is the annual evaluative loop · QRM and knowledge management are the operating principles · CAPA, change and management review drive continual improvement.</w:t>
      </w:r>
    </w:p>
    <w:p w14:paraId="63DF873E" w14:textId="77777777" w:rsidR="00CD5946" w:rsidRDefault="00000000">
      <w:pPr>
        <w:bidi/>
        <w:spacing w:after="150" w:line="300" w:lineRule="auto"/>
        <w:jc w:val="right"/>
      </w:pPr>
      <w:r>
        <w:rPr>
          <w:rFonts w:ascii="Arial" w:eastAsia="Arial" w:hAnsi="Arial"/>
          <w:color w:val="333333"/>
          <w:sz w:val="20"/>
          <w:szCs w:val="20"/>
          <w:rtl/>
        </w:rPr>
        <w:t>الإدارة العليا تملك نظام الجودة · يمتد عبر دورة الحياة · المراجعة الدورية هي الحلقة التقييمية · إدارة المخاطر والمعرفة مبدأ التشغيل · الإجراءات التصحيحية وإدارة التغيير تقود التحسين المستمر.</w:t>
      </w:r>
    </w:p>
    <w:p w14:paraId="115444DF" w14:textId="77777777" w:rsidR="00CD5946" w:rsidRDefault="00000000">
      <w:pPr>
        <w:pStyle w:val="Heading2"/>
        <w:spacing w:before="220" w:after="100"/>
      </w:pPr>
      <w:bookmarkStart w:id="295" w:name="__RefHeading___Toc28273_1371984443"/>
      <w:bookmarkEnd w:id="295"/>
      <w:r>
        <w:rPr>
          <w:sz w:val="25"/>
          <w:szCs w:val="25"/>
        </w:rPr>
        <w:t xml:space="preserve">P4.2  Decision tree — dedicated vs shared facility (HBEL-based)  ·  </w:t>
      </w:r>
      <w:r>
        <w:rPr>
          <w:sz w:val="25"/>
          <w:szCs w:val="25"/>
          <w:rtl/>
        </w:rPr>
        <w:t>شجرة القرار — منشأة مخصّصة مقابل مشتركة</w:t>
      </w:r>
    </w:p>
    <w:p w14:paraId="68E2CF57" w14:textId="77777777" w:rsidR="00CD5946" w:rsidRDefault="00000000">
      <w:pPr>
        <w:spacing w:after="40" w:line="266" w:lineRule="auto"/>
      </w:pPr>
      <w:r>
        <w:rPr>
          <w:rFonts w:ascii="Arial" w:eastAsia="Arial" w:hAnsi="Arial"/>
          <w:i/>
          <w:iCs/>
          <w:color w:val="666666"/>
          <w:sz w:val="18"/>
          <w:szCs w:val="18"/>
        </w:rPr>
        <w:t>Aligned with EU GMP Ch.3/Ch.5, the EMA HBEL guideline and ICH Q9(R1). Informative aid to the binding clauses.</w:t>
      </w:r>
    </w:p>
    <w:tbl>
      <w:tblPr>
        <w:tblW w:w="9360" w:type="dxa"/>
        <w:tblInd w:w="103" w:type="dxa"/>
        <w:tblLayout w:type="fixed"/>
        <w:tblLook w:val="04A0" w:firstRow="1" w:lastRow="0" w:firstColumn="1" w:lastColumn="0" w:noHBand="0" w:noVBand="1"/>
      </w:tblPr>
      <w:tblGrid>
        <w:gridCol w:w="3120"/>
        <w:gridCol w:w="3120"/>
        <w:gridCol w:w="3120"/>
      </w:tblGrid>
      <w:tr w:rsidR="00CD5946" w14:paraId="33EF1C40" w14:textId="77777777">
        <w:tc>
          <w:tcPr>
            <w:tcW w:w="3120" w:type="dxa"/>
            <w:tcBorders>
              <w:top w:val="single" w:sz="4" w:space="0" w:color="CCCCCC"/>
              <w:left w:val="single" w:sz="4" w:space="0" w:color="CCCCCC"/>
              <w:bottom w:val="single" w:sz="4" w:space="0" w:color="CCCCCC"/>
              <w:right w:val="single" w:sz="4" w:space="0" w:color="CCCCCC"/>
            </w:tcBorders>
            <w:shd w:val="clear" w:color="auto" w:fill="15512F"/>
          </w:tcPr>
          <w:p w14:paraId="60391C83" w14:textId="77777777" w:rsidR="00CD5946" w:rsidRDefault="00CD5946">
            <w:pPr>
              <w:spacing w:before="20" w:after="20" w:line="252" w:lineRule="auto"/>
              <w:jc w:val="center"/>
            </w:pPr>
          </w:p>
        </w:tc>
        <w:tc>
          <w:tcPr>
            <w:tcW w:w="3120" w:type="dxa"/>
            <w:tcBorders>
              <w:top w:val="single" w:sz="4" w:space="0" w:color="CCCCCC"/>
              <w:left w:val="single" w:sz="4" w:space="0" w:color="CCCCCC"/>
              <w:bottom w:val="single" w:sz="4" w:space="0" w:color="CCCCCC"/>
              <w:right w:val="single" w:sz="4" w:space="0" w:color="CCCCCC"/>
            </w:tcBorders>
            <w:shd w:val="clear" w:color="auto" w:fill="15512F"/>
          </w:tcPr>
          <w:p w14:paraId="0A07BA9D" w14:textId="77777777" w:rsidR="00CD5946" w:rsidRDefault="00000000">
            <w:pPr>
              <w:spacing w:before="20" w:after="20" w:line="252" w:lineRule="auto"/>
            </w:pPr>
            <w:r>
              <w:rPr>
                <w:rFonts w:ascii="Arial" w:eastAsia="Arial" w:hAnsi="Arial"/>
                <w:b/>
                <w:bCs/>
                <w:color w:val="FFFFFF"/>
                <w:sz w:val="20"/>
                <w:szCs w:val="20"/>
              </w:rPr>
              <w:t>Question</w:t>
            </w:r>
          </w:p>
        </w:tc>
        <w:tc>
          <w:tcPr>
            <w:tcW w:w="3120" w:type="dxa"/>
            <w:tcBorders>
              <w:top w:val="single" w:sz="4" w:space="0" w:color="CCCCCC"/>
              <w:left w:val="single" w:sz="4" w:space="0" w:color="CCCCCC"/>
              <w:bottom w:val="single" w:sz="4" w:space="0" w:color="CCCCCC"/>
              <w:right w:val="single" w:sz="4" w:space="0" w:color="CCCCCC"/>
            </w:tcBorders>
            <w:shd w:val="clear" w:color="auto" w:fill="15512F"/>
          </w:tcPr>
          <w:p w14:paraId="658ED786" w14:textId="77777777" w:rsidR="00CD5946" w:rsidRDefault="00000000">
            <w:pPr>
              <w:spacing w:before="20" w:after="20" w:line="252" w:lineRule="auto"/>
            </w:pPr>
            <w:r>
              <w:rPr>
                <w:rFonts w:ascii="Arial" w:eastAsia="Arial" w:hAnsi="Arial"/>
                <w:b/>
                <w:bCs/>
                <w:color w:val="FFFFFF"/>
                <w:sz w:val="20"/>
                <w:szCs w:val="20"/>
              </w:rPr>
              <w:t>Outcome</w:t>
            </w:r>
          </w:p>
        </w:tc>
      </w:tr>
      <w:tr w:rsidR="00CD5946" w14:paraId="1784C97A" w14:textId="77777777">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771BA4A7" w14:textId="77777777" w:rsidR="00CD5946" w:rsidRDefault="00000000">
            <w:pPr>
              <w:spacing w:before="20" w:after="20" w:line="252" w:lineRule="auto"/>
              <w:jc w:val="center"/>
            </w:pPr>
            <w:r>
              <w:rPr>
                <w:rFonts w:ascii="Arial" w:eastAsia="Arial" w:hAnsi="Arial"/>
                <w:b/>
                <w:bCs/>
                <w:color w:val="333333"/>
                <w:sz w:val="20"/>
                <w:szCs w:val="20"/>
              </w:rPr>
              <w:t>Q1</w:t>
            </w:r>
          </w:p>
        </w:tc>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7A889FF6" w14:textId="77777777" w:rsidR="00CD5946" w:rsidRDefault="00000000">
            <w:pPr>
              <w:spacing w:before="20" w:after="20" w:line="252" w:lineRule="auto"/>
            </w:pPr>
            <w:r>
              <w:rPr>
                <w:rFonts w:ascii="Arial" w:eastAsia="Arial" w:hAnsi="Arial"/>
                <w:color w:val="333333"/>
                <w:sz w:val="20"/>
                <w:szCs w:val="20"/>
              </w:rPr>
              <w:t>Is the substance in a class for which separate, self-contained facilities are required irrespective of HBEL — e.g., certain β-lactams (penicillins, cephalosporins) and other highly sensitising materials per national law?</w:t>
            </w:r>
          </w:p>
        </w:tc>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666DA5F6" w14:textId="77777777" w:rsidR="00CD5946" w:rsidRDefault="00000000">
            <w:pPr>
              <w:spacing w:before="20" w:after="20" w:line="252" w:lineRule="auto"/>
            </w:pPr>
            <w:r>
              <w:rPr>
                <w:rFonts w:ascii="Arial" w:eastAsia="Arial" w:hAnsi="Arial"/>
                <w:color w:val="333333"/>
                <w:sz w:val="20"/>
                <w:szCs w:val="20"/>
              </w:rPr>
              <w:t>YES → dedicated, self-contained facility with separate air-handling. Stop. NO → Q2.</w:t>
            </w:r>
          </w:p>
        </w:tc>
      </w:tr>
      <w:tr w:rsidR="00CD5946" w14:paraId="4B647CCD" w14:textId="77777777">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5C321181" w14:textId="77777777" w:rsidR="00CD5946" w:rsidRDefault="00000000">
            <w:pPr>
              <w:spacing w:before="20" w:after="20" w:line="252" w:lineRule="auto"/>
              <w:jc w:val="center"/>
            </w:pPr>
            <w:r>
              <w:rPr>
                <w:rFonts w:ascii="Arial" w:eastAsia="Arial" w:hAnsi="Arial"/>
                <w:b/>
                <w:bCs/>
                <w:color w:val="333333"/>
                <w:sz w:val="20"/>
                <w:szCs w:val="20"/>
              </w:rPr>
              <w:t>Q2</w:t>
            </w:r>
          </w:p>
        </w:tc>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07D666F2" w14:textId="77777777" w:rsidR="00CD5946" w:rsidRDefault="00000000">
            <w:pPr>
              <w:spacing w:before="20" w:after="20" w:line="252" w:lineRule="auto"/>
            </w:pPr>
            <w:r>
              <w:rPr>
                <w:rFonts w:ascii="Arial" w:eastAsia="Arial" w:hAnsi="Arial"/>
                <w:color w:val="333333"/>
                <w:sz w:val="20"/>
                <w:szCs w:val="20"/>
              </w:rPr>
              <w:t>Has a Health-Based Exposure Limit (HBEL/PDE) been derived by a qualified toxicologist from all available data?</w:t>
            </w:r>
          </w:p>
        </w:tc>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473806AA" w14:textId="77777777" w:rsidR="00CD5946" w:rsidRDefault="00000000">
            <w:pPr>
              <w:spacing w:before="20" w:after="20" w:line="252" w:lineRule="auto"/>
            </w:pPr>
            <w:r>
              <w:rPr>
                <w:rFonts w:ascii="Arial" w:eastAsia="Arial" w:hAnsi="Arial"/>
                <w:color w:val="333333"/>
                <w:sz w:val="20"/>
                <w:szCs w:val="20"/>
              </w:rPr>
              <w:t>NO → derive HBEL before any shared-facility decision. YES → Q3.</w:t>
            </w:r>
          </w:p>
        </w:tc>
      </w:tr>
      <w:tr w:rsidR="00CD5946" w14:paraId="4CF0D3FE" w14:textId="77777777">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6914A487" w14:textId="77777777" w:rsidR="00CD5946" w:rsidRDefault="00000000">
            <w:pPr>
              <w:spacing w:before="20" w:after="20" w:line="252" w:lineRule="auto"/>
              <w:jc w:val="center"/>
            </w:pPr>
            <w:r>
              <w:rPr>
                <w:rFonts w:ascii="Arial" w:eastAsia="Arial" w:hAnsi="Arial"/>
                <w:b/>
                <w:bCs/>
                <w:color w:val="333333"/>
                <w:sz w:val="20"/>
                <w:szCs w:val="20"/>
              </w:rPr>
              <w:t>Q3</w:t>
            </w:r>
          </w:p>
        </w:tc>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57F8CA00" w14:textId="77777777" w:rsidR="00CD5946" w:rsidRDefault="00000000">
            <w:pPr>
              <w:spacing w:before="20" w:after="20" w:line="252" w:lineRule="auto"/>
            </w:pPr>
            <w:r>
              <w:rPr>
                <w:rFonts w:ascii="Arial" w:eastAsia="Arial" w:hAnsi="Arial"/>
                <w:color w:val="333333"/>
                <w:sz w:val="20"/>
                <w:szCs w:val="20"/>
              </w:rPr>
              <w:t>Using QRM, can facility/equipment design, cleaning and technical/organisational controls reliably keep cross-contamination below the HBEL-</w:t>
              <w:lastRenderedPageBreak/>
              <w:t>based limit, with margin and routine verification?</w:t>
            </w:r>
          </w:p>
        </w:tc>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7E6A3E9C" w14:textId="77777777" w:rsidR="00CD5946" w:rsidRDefault="00000000">
            <w:pPr>
              <w:spacing w:before="20" w:after="20" w:line="252" w:lineRule="auto"/>
            </w:pPr>
            <w:r>
              <w:rPr>
                <w:rFonts w:ascii="Arial" w:eastAsia="Arial" w:hAnsi="Arial"/>
                <w:color w:val="333333"/>
                <w:sz w:val="20"/>
                <w:szCs w:val="20"/>
              </w:rPr>
              <w:lastRenderedPageBreak/>
              <w:t>NO → dedicated or segregated production. YES → Q4.</w:t>
            </w:r>
          </w:p>
        </w:tc>
      </w:tr>
      <w:tr w:rsidR="00CD5946" w14:paraId="26DD3ACA" w14:textId="77777777">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4E0191B6" w14:textId="77777777" w:rsidR="00CD5946" w:rsidRDefault="00000000">
            <w:pPr>
              <w:spacing w:before="20" w:after="20" w:line="252" w:lineRule="auto"/>
              <w:jc w:val="center"/>
            </w:pPr>
            <w:r>
              <w:rPr>
                <w:rFonts w:ascii="Arial" w:eastAsia="Arial" w:hAnsi="Arial"/>
                <w:b/>
                <w:bCs/>
                <w:color w:val="333333"/>
                <w:sz w:val="20"/>
                <w:szCs w:val="20"/>
              </w:rPr>
              <w:t>Q4</w:t>
            </w:r>
          </w:p>
        </w:tc>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2D3FD62D" w14:textId="77777777" w:rsidR="00CD5946" w:rsidRDefault="00000000">
            <w:pPr>
              <w:spacing w:before="20" w:after="20" w:line="252" w:lineRule="auto"/>
            </w:pPr>
            <w:r>
              <w:rPr>
                <w:rFonts w:ascii="Arial" w:eastAsia="Arial" w:hAnsi="Arial"/>
                <w:color w:val="333333"/>
                <w:sz w:val="20"/>
                <w:szCs w:val="20"/>
              </w:rPr>
              <w:t>Is cleaning validated to the HBEL-derived limit (carry-over and visual), and the control set captured in the CCS and periodically reviewed?</w:t>
            </w:r>
          </w:p>
        </w:tc>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050834C6" w14:textId="77777777" w:rsidR="00CD5946" w:rsidRDefault="00000000">
            <w:pPr>
              <w:spacing w:before="20" w:after="20" w:line="252" w:lineRule="auto"/>
            </w:pPr>
            <w:r>
              <w:rPr>
                <w:rFonts w:ascii="Arial" w:eastAsia="Arial" w:hAnsi="Arial"/>
                <w:color w:val="333333"/>
                <w:sz w:val="20"/>
                <w:szCs w:val="20"/>
              </w:rPr>
              <w:t>YES → shared facility acceptable under the CCS. NO → remediate before sharing.</w:t>
            </w:r>
          </w:p>
        </w:tc>
      </w:tr>
    </w:tbl>
    <w:p w14:paraId="10252D54" w14:textId="77777777" w:rsidR="00CD5946" w:rsidRDefault="00000000">
      <w:pPr>
        <w:spacing w:after="80" w:line="266" w:lineRule="auto"/>
      </w:pPr>
      <w:r>
        <w:rPr>
          <w:rFonts w:ascii="Arial" w:eastAsia="Arial" w:hAnsi="Arial"/>
          <w:i/>
          <w:iCs/>
          <w:color w:val="666666"/>
          <w:sz w:val="18"/>
          <w:szCs w:val="18"/>
        </w:rPr>
        <w:t>Note. A favourable HBEL does not by itself justify shared manufacture; the decision rests on validated control to that limit. The absence of an HBEL is not a default to dedicated facilities — it is a prompt to derive one.</w:t>
      </w:r>
    </w:p>
    <w:p w14:paraId="7D48B01A" w14:textId="77777777" w:rsidR="00CD5946" w:rsidRDefault="00000000">
      <w:pPr>
        <w:bidi/>
        <w:spacing w:after="150" w:line="300" w:lineRule="auto"/>
        <w:jc w:val="right"/>
      </w:pPr>
      <w:r>
        <w:rPr>
          <w:rFonts w:ascii="Arial" w:eastAsia="Arial" w:hAnsi="Arial"/>
          <w:color w:val="333333"/>
          <w:sz w:val="20"/>
          <w:szCs w:val="20"/>
          <w:rtl/>
        </w:rPr>
        <w:t>شجرة القرار: س</w:t>
      </w:r>
      <w:r>
        <w:rPr>
          <w:rFonts w:ascii="Arial" w:eastAsia="Arial" w:hAnsi="Arial"/>
          <w:color w:val="333333"/>
          <w:sz w:val="20"/>
          <w:szCs w:val="20"/>
        </w:rPr>
        <w:t>1</w:t>
      </w:r>
      <w:r>
        <w:rPr>
          <w:rFonts w:ascii="Arial" w:eastAsia="Arial" w:hAnsi="Arial"/>
          <w:color w:val="333333"/>
          <w:sz w:val="20"/>
          <w:szCs w:val="20"/>
          <w:rtl/>
        </w:rPr>
        <w:t xml:space="preserve"> — هل المادة من فئة تستلزم منشأة مخصّصة بصرف النظر عن الحدّ (مثل بعض البيتالاكتام والمواد عالية التحسيس)؟ نعم ← منشأة مخصّصة وتوقّف. لا ← س</w:t>
      </w:r>
      <w:r>
        <w:rPr>
          <w:rFonts w:ascii="Arial" w:eastAsia="Arial" w:hAnsi="Arial"/>
          <w:color w:val="333333"/>
          <w:sz w:val="20"/>
          <w:szCs w:val="20"/>
        </w:rPr>
        <w:t>2</w:t>
      </w:r>
      <w:r>
        <w:rPr>
          <w:rFonts w:ascii="Arial" w:eastAsia="Arial" w:hAnsi="Arial"/>
          <w:color w:val="333333"/>
          <w:sz w:val="20"/>
          <w:szCs w:val="20"/>
          <w:rtl/>
        </w:rPr>
        <w:t>. س</w:t>
      </w:r>
      <w:r>
        <w:rPr>
          <w:rFonts w:ascii="Arial" w:eastAsia="Arial" w:hAnsi="Arial"/>
          <w:color w:val="333333"/>
          <w:sz w:val="20"/>
          <w:szCs w:val="20"/>
        </w:rPr>
        <w:t>2</w:t>
      </w:r>
      <w:r>
        <w:rPr>
          <w:rFonts w:ascii="Arial" w:eastAsia="Arial" w:hAnsi="Arial"/>
          <w:color w:val="333333"/>
          <w:sz w:val="20"/>
          <w:szCs w:val="20"/>
          <w:rtl/>
        </w:rPr>
        <w:t xml:space="preserve"> — هل اشتُقّ حدّ التعرّض المبني على الصحة؟ لا ← يُشتقّ أولاً. نعم ← س</w:t>
      </w:r>
      <w:r>
        <w:rPr>
          <w:rFonts w:ascii="Arial" w:eastAsia="Arial" w:hAnsi="Arial"/>
          <w:color w:val="333333"/>
          <w:sz w:val="20"/>
          <w:szCs w:val="20"/>
        </w:rPr>
        <w:t>3</w:t>
      </w:r>
      <w:r>
        <w:rPr>
          <w:rFonts w:ascii="Arial" w:eastAsia="Arial" w:hAnsi="Arial"/>
          <w:color w:val="333333"/>
          <w:sz w:val="20"/>
          <w:szCs w:val="20"/>
          <w:rtl/>
        </w:rPr>
        <w:t>. س</w:t>
      </w:r>
      <w:r>
        <w:rPr>
          <w:rFonts w:ascii="Arial" w:eastAsia="Arial" w:hAnsi="Arial"/>
          <w:color w:val="333333"/>
          <w:sz w:val="20"/>
          <w:szCs w:val="20"/>
        </w:rPr>
        <w:t>3</w:t>
      </w:r>
      <w:r>
        <w:rPr>
          <w:rFonts w:ascii="Arial" w:eastAsia="Arial" w:hAnsi="Arial"/>
          <w:color w:val="333333"/>
          <w:sz w:val="20"/>
          <w:szCs w:val="20"/>
          <w:rtl/>
        </w:rPr>
        <w:t xml:space="preserve"> — هل تُبقي الضوابط التلوّث دون الحدّ بهامش وتحقّق روتيني؟ لا ← إنتاج مخصّص أو معزول. نعم ← س</w:t>
      </w:r>
      <w:r>
        <w:rPr>
          <w:rFonts w:ascii="Arial" w:eastAsia="Arial" w:hAnsi="Arial"/>
          <w:color w:val="333333"/>
          <w:sz w:val="20"/>
          <w:szCs w:val="20"/>
        </w:rPr>
        <w:t>4</w:t>
      </w:r>
      <w:r>
        <w:rPr>
          <w:rFonts w:ascii="Arial" w:eastAsia="Arial" w:hAnsi="Arial"/>
          <w:color w:val="333333"/>
          <w:sz w:val="20"/>
          <w:szCs w:val="20"/>
          <w:rtl/>
        </w:rPr>
        <w:t>. س</w:t>
      </w:r>
      <w:r>
        <w:rPr>
          <w:rFonts w:ascii="Arial" w:eastAsia="Arial" w:hAnsi="Arial"/>
          <w:color w:val="333333"/>
          <w:sz w:val="20"/>
          <w:szCs w:val="20"/>
        </w:rPr>
        <w:t>4</w:t>
      </w:r>
      <w:r>
        <w:rPr>
          <w:rFonts w:ascii="Arial" w:eastAsia="Arial" w:hAnsi="Arial"/>
          <w:color w:val="333333"/>
          <w:sz w:val="20"/>
          <w:szCs w:val="20"/>
          <w:rtl/>
        </w:rPr>
        <w:t xml:space="preserve"> — هل تحقّق التنظيف مُثبَت إلى الحدّ وأُدرج ضمن استراتيجية ضبط التلوّث؟ نعم ← المنشأة المشتركة مقبولة. لا ← تُعالَج الضوابط قبل المشاركة. ملاحظة: لا يبرّر الحدّ المؤاتي وحده التصنيع المشترك.</w:t>
      </w:r>
    </w:p>
    <w:p w14:paraId="6898C550" w14:textId="77777777" w:rsidR="00CD5946" w:rsidRDefault="00000000">
      <w:pPr>
        <w:pStyle w:val="Heading2"/>
        <w:spacing w:before="220" w:after="100"/>
      </w:pPr>
      <w:bookmarkStart w:id="296" w:name="__RefHeading___Toc28275_1371984443"/>
      <w:bookmarkEnd w:id="296"/>
      <w:r>
        <w:rPr>
          <w:sz w:val="25"/>
          <w:szCs w:val="25"/>
        </w:rPr>
        <w:t xml:space="preserve">P4.3  Worked example — HBEL → PDE → MACO cleaning limit  ·  </w:t>
      </w:r>
      <w:r>
        <w:rPr>
          <w:sz w:val="25"/>
          <w:szCs w:val="25"/>
          <w:rtl/>
        </w:rPr>
        <w:t>مثال محلول — من حدّ التعرّض إلى أقصى محمول مسموح</w:t>
      </w:r>
    </w:p>
    <w:p w14:paraId="47D66F3F" w14:textId="77777777" w:rsidR="00CD5946" w:rsidRDefault="00000000">
      <w:pPr>
        <w:spacing w:after="40" w:line="266" w:lineRule="auto"/>
      </w:pPr>
      <w:r>
        <w:rPr>
          <w:rFonts w:ascii="Arial" w:eastAsia="Arial" w:hAnsi="Arial"/>
          <w:i/>
          <w:iCs/>
          <w:color w:val="666666"/>
          <w:sz w:val="18"/>
          <w:szCs w:val="18"/>
        </w:rPr>
        <w:t>Merge support: Annex 15 (cleaning validation) and Appendix B. Numbers are illustrative.</w:t>
      </w:r>
    </w:p>
    <w:tbl>
      <w:tblPr>
        <w:tblW w:w="9360" w:type="dxa"/>
        <w:tblInd w:w="103" w:type="dxa"/>
        <w:tblLayout w:type="fixed"/>
        <w:tblLook w:val="04A0" w:firstRow="1" w:lastRow="0" w:firstColumn="1" w:lastColumn="0" w:noHBand="0" w:noVBand="1"/>
      </w:tblPr>
      <w:tblGrid>
        <w:gridCol w:w="3120"/>
        <w:gridCol w:w="3120"/>
        <w:gridCol w:w="3120"/>
      </w:tblGrid>
      <w:tr w:rsidR="00CD5946" w14:paraId="2C1F8573" w14:textId="77777777">
        <w:tc>
          <w:tcPr>
            <w:tcW w:w="3120" w:type="dxa"/>
            <w:tcBorders>
              <w:top w:val="single" w:sz="4" w:space="0" w:color="CCCCCC"/>
              <w:left w:val="single" w:sz="4" w:space="0" w:color="CCCCCC"/>
              <w:bottom w:val="single" w:sz="4" w:space="0" w:color="CCCCCC"/>
              <w:right w:val="single" w:sz="4" w:space="0" w:color="CCCCCC"/>
            </w:tcBorders>
            <w:shd w:val="clear" w:color="auto" w:fill="15512F"/>
          </w:tcPr>
          <w:p w14:paraId="08768DEB" w14:textId="77777777" w:rsidR="00CD5946" w:rsidRDefault="00000000">
            <w:pPr>
              <w:spacing w:before="20" w:after="20" w:line="252" w:lineRule="auto"/>
            </w:pPr>
            <w:r>
              <w:rPr>
                <w:rFonts w:ascii="Arial" w:eastAsia="Arial" w:hAnsi="Arial"/>
                <w:b/>
                <w:bCs/>
                <w:color w:val="FFFFFF"/>
                <w:sz w:val="20"/>
                <w:szCs w:val="20"/>
              </w:rPr>
              <w:t>Parameter / step</w:t>
            </w:r>
          </w:p>
        </w:tc>
        <w:tc>
          <w:tcPr>
            <w:tcW w:w="3120" w:type="dxa"/>
            <w:tcBorders>
              <w:top w:val="single" w:sz="4" w:space="0" w:color="CCCCCC"/>
              <w:left w:val="single" w:sz="4" w:space="0" w:color="CCCCCC"/>
              <w:bottom w:val="single" w:sz="4" w:space="0" w:color="CCCCCC"/>
              <w:right w:val="single" w:sz="4" w:space="0" w:color="CCCCCC"/>
            </w:tcBorders>
            <w:shd w:val="clear" w:color="auto" w:fill="15512F"/>
          </w:tcPr>
          <w:p w14:paraId="472F3588" w14:textId="77777777" w:rsidR="00CD5946" w:rsidRDefault="00000000">
            <w:pPr>
              <w:spacing w:before="20" w:after="20" w:line="252" w:lineRule="auto"/>
            </w:pPr>
            <w:r>
              <w:rPr>
                <w:rFonts w:ascii="Arial" w:eastAsia="Arial" w:hAnsi="Arial"/>
                <w:b/>
                <w:bCs/>
                <w:color w:val="FFFFFF"/>
                <w:sz w:val="20"/>
                <w:szCs w:val="20"/>
              </w:rPr>
              <w:t>Value</w:t>
            </w:r>
          </w:p>
        </w:tc>
        <w:tc>
          <w:tcPr>
            <w:tcW w:w="3120" w:type="dxa"/>
            <w:tcBorders>
              <w:top w:val="single" w:sz="4" w:space="0" w:color="CCCCCC"/>
              <w:left w:val="single" w:sz="4" w:space="0" w:color="CCCCCC"/>
              <w:bottom w:val="single" w:sz="4" w:space="0" w:color="CCCCCC"/>
              <w:right w:val="single" w:sz="4" w:space="0" w:color="CCCCCC"/>
            </w:tcBorders>
            <w:shd w:val="clear" w:color="auto" w:fill="15512F"/>
          </w:tcPr>
          <w:p w14:paraId="79256EFB" w14:textId="77777777" w:rsidR="00CD5946" w:rsidRDefault="00000000">
            <w:pPr>
              <w:spacing w:before="20" w:after="20" w:line="252" w:lineRule="auto"/>
            </w:pPr>
            <w:r>
              <w:rPr>
                <w:rFonts w:ascii="Arial" w:eastAsia="Arial" w:hAnsi="Arial"/>
                <w:b/>
                <w:bCs/>
                <w:color w:val="FFFFFF"/>
                <w:sz w:val="20"/>
                <w:szCs w:val="20"/>
              </w:rPr>
              <w:t>Note</w:t>
            </w:r>
          </w:p>
        </w:tc>
      </w:tr>
      <w:tr w:rsidR="00CD5946" w14:paraId="72B84D17" w14:textId="77777777">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504F66C4" w14:textId="77777777" w:rsidR="00CD5946" w:rsidRDefault="00000000">
            <w:pPr>
              <w:spacing w:before="20" w:after="20" w:line="252" w:lineRule="auto"/>
            </w:pPr>
            <w:r>
              <w:rPr>
                <w:rFonts w:ascii="Arial" w:eastAsia="Arial" w:hAnsi="Arial"/>
                <w:color w:val="333333"/>
                <w:sz w:val="20"/>
                <w:szCs w:val="20"/>
              </w:rPr>
              <w:t>PDE of compound A (toxicological assessment)</w:t>
            </w:r>
          </w:p>
        </w:tc>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11264CD1" w14:textId="77777777" w:rsidR="00CD5946" w:rsidRDefault="00000000">
            <w:pPr>
              <w:spacing w:before="20" w:after="20" w:line="252" w:lineRule="auto"/>
            </w:pPr>
            <w:r>
              <w:rPr>
                <w:rFonts w:ascii="Arial" w:eastAsia="Arial" w:hAnsi="Arial"/>
                <w:b/>
                <w:bCs/>
                <w:color w:val="333333"/>
                <w:sz w:val="20"/>
                <w:szCs w:val="20"/>
              </w:rPr>
              <w:t>0.10 mg/day</w:t>
            </w:r>
          </w:p>
        </w:tc>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055D98B7" w14:textId="77777777" w:rsidR="00CD5946" w:rsidRDefault="00000000">
            <w:pPr>
              <w:spacing w:before="20" w:after="20" w:line="252" w:lineRule="auto"/>
            </w:pPr>
            <w:r>
              <w:rPr>
                <w:rFonts w:ascii="Arial" w:eastAsia="Arial" w:hAnsi="Arial"/>
                <w:color w:val="333333"/>
                <w:sz w:val="20"/>
                <w:szCs w:val="20"/>
              </w:rPr>
              <w:t>Health-based; not a dose fraction or 10 ppm</w:t>
            </w:r>
          </w:p>
        </w:tc>
      </w:tr>
      <w:tr w:rsidR="00CD5946" w14:paraId="12841E1B" w14:textId="77777777">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2372566E" w14:textId="77777777" w:rsidR="00CD5946" w:rsidRDefault="00000000">
            <w:pPr>
              <w:spacing w:before="20" w:after="20" w:line="252" w:lineRule="auto"/>
            </w:pPr>
            <w:r>
              <w:rPr>
                <w:rFonts w:ascii="Arial" w:eastAsia="Arial" w:hAnsi="Arial"/>
                <w:color w:val="333333"/>
                <w:sz w:val="20"/>
                <w:szCs w:val="20"/>
              </w:rPr>
              <w:t>Minimum batch size of next product B</w:t>
            </w:r>
          </w:p>
        </w:tc>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746A832A" w14:textId="77777777" w:rsidR="00CD5946" w:rsidRDefault="00000000">
            <w:pPr>
              <w:spacing w:before="20" w:after="20" w:line="252" w:lineRule="auto"/>
            </w:pPr>
            <w:r>
              <w:rPr>
                <w:rFonts w:ascii="Arial" w:eastAsia="Arial" w:hAnsi="Arial"/>
                <w:b/>
                <w:bCs/>
                <w:color w:val="333333"/>
                <w:sz w:val="20"/>
                <w:szCs w:val="20"/>
              </w:rPr>
              <w:t>50 kg = 50,000,000 mg</w:t>
            </w:r>
          </w:p>
        </w:tc>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3536CDDB" w14:textId="77777777" w:rsidR="00CD5946" w:rsidRDefault="00000000">
            <w:pPr>
              <w:spacing w:before="20" w:after="20" w:line="252" w:lineRule="auto"/>
            </w:pPr>
            <w:r>
              <w:rPr>
                <w:rFonts w:ascii="Arial" w:eastAsia="Arial" w:hAnsi="Arial"/>
                <w:color w:val="333333"/>
                <w:sz w:val="20"/>
                <w:szCs w:val="20"/>
              </w:rPr>
              <w:t>Smallest B batch on the line</w:t>
            </w:r>
          </w:p>
        </w:tc>
      </w:tr>
      <w:tr w:rsidR="00CD5946" w14:paraId="0BD744DA" w14:textId="77777777">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7183B996" w14:textId="77777777" w:rsidR="00CD5946" w:rsidRDefault="00000000">
            <w:pPr>
              <w:spacing w:before="20" w:after="20" w:line="252" w:lineRule="auto"/>
            </w:pPr>
            <w:r>
              <w:rPr>
                <w:rFonts w:ascii="Arial" w:eastAsia="Arial" w:hAnsi="Arial"/>
                <w:color w:val="333333"/>
                <w:sz w:val="20"/>
                <w:szCs w:val="20"/>
              </w:rPr>
              <w:t>Maximum daily dose of product B</w:t>
            </w:r>
          </w:p>
        </w:tc>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6573B024" w14:textId="77777777" w:rsidR="00CD5946" w:rsidRDefault="00000000">
            <w:pPr>
              <w:spacing w:before="20" w:after="20" w:line="252" w:lineRule="auto"/>
            </w:pPr>
            <w:r>
              <w:rPr>
                <w:rFonts w:ascii="Arial" w:eastAsia="Arial" w:hAnsi="Arial"/>
                <w:b/>
                <w:bCs/>
                <w:color w:val="333333"/>
                <w:sz w:val="20"/>
                <w:szCs w:val="20"/>
              </w:rPr>
              <w:t>1,000 mg/day</w:t>
            </w:r>
          </w:p>
        </w:tc>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223950A3" w14:textId="77777777" w:rsidR="00CD5946" w:rsidRDefault="00000000">
            <w:pPr>
              <w:spacing w:before="20" w:after="20" w:line="252" w:lineRule="auto"/>
            </w:pPr>
            <w:r>
              <w:rPr>
                <w:rFonts w:ascii="Arial" w:eastAsia="Arial" w:hAnsi="Arial"/>
                <w:color w:val="333333"/>
                <w:sz w:val="20"/>
                <w:szCs w:val="20"/>
              </w:rPr>
              <w:t>e.g., 2 × 500 mg</w:t>
            </w:r>
          </w:p>
        </w:tc>
      </w:tr>
      <w:tr w:rsidR="00CD5946" w14:paraId="5D3C9476" w14:textId="77777777">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5C79052F" w14:textId="77777777" w:rsidR="00CD5946" w:rsidRDefault="00000000">
            <w:pPr>
              <w:spacing w:before="20" w:after="20" w:line="252" w:lineRule="auto"/>
            </w:pPr>
            <w:r>
              <w:rPr>
                <w:rFonts w:ascii="Arial" w:eastAsia="Arial" w:hAnsi="Arial"/>
                <w:color w:val="333333"/>
                <w:sz w:val="20"/>
                <w:szCs w:val="20"/>
              </w:rPr>
              <w:t>MACO = PDE × MBS ÷ MDD</w:t>
            </w:r>
          </w:p>
        </w:tc>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29C8B970" w14:textId="77777777" w:rsidR="00CD5946" w:rsidRDefault="00000000">
            <w:pPr>
              <w:spacing w:before="20" w:after="20" w:line="252" w:lineRule="auto"/>
            </w:pPr>
            <w:r>
              <w:rPr>
                <w:rFonts w:ascii="Arial" w:eastAsia="Arial" w:hAnsi="Arial"/>
                <w:b/>
                <w:bCs/>
                <w:color w:val="333333"/>
                <w:sz w:val="20"/>
                <w:szCs w:val="20"/>
              </w:rPr>
              <w:t>0.10 × 50,000,000 ÷ 1,000 = 5,000 mg</w:t>
            </w:r>
          </w:p>
        </w:tc>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147EBD9B" w14:textId="77777777" w:rsidR="00CD5946" w:rsidRDefault="00000000">
            <w:pPr>
              <w:spacing w:before="20" w:after="20" w:line="252" w:lineRule="auto"/>
            </w:pPr>
            <w:r>
              <w:rPr>
                <w:rFonts w:ascii="Arial" w:eastAsia="Arial" w:hAnsi="Arial"/>
                <w:color w:val="333333"/>
                <w:sz w:val="20"/>
                <w:szCs w:val="20"/>
              </w:rPr>
              <w:t>= 5.0 g of A in a whole batch of B</w:t>
            </w:r>
          </w:p>
        </w:tc>
      </w:tr>
      <w:tr w:rsidR="00CD5946" w14:paraId="67A1F319" w14:textId="77777777">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781852B3" w14:textId="77777777" w:rsidR="00CD5946" w:rsidRDefault="00000000">
            <w:pPr>
              <w:spacing w:before="20" w:after="20" w:line="252" w:lineRule="auto"/>
            </w:pPr>
            <w:r>
              <w:rPr>
                <w:rFonts w:ascii="Arial" w:eastAsia="Arial" w:hAnsi="Arial"/>
                <w:color w:val="333333"/>
                <w:sz w:val="20"/>
                <w:szCs w:val="20"/>
              </w:rPr>
              <w:t>Shared product-contact surface area</w:t>
            </w:r>
          </w:p>
        </w:tc>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58298314" w14:textId="77777777" w:rsidR="00CD5946" w:rsidRDefault="00000000">
            <w:pPr>
              <w:spacing w:before="20" w:after="20" w:line="252" w:lineRule="auto"/>
            </w:pPr>
            <w:r>
              <w:rPr>
                <w:rFonts w:ascii="Arial" w:eastAsia="Arial" w:hAnsi="Arial"/>
                <w:b/>
                <w:bCs/>
                <w:color w:val="333333"/>
                <w:sz w:val="20"/>
                <w:szCs w:val="20"/>
              </w:rPr>
              <w:t>200,000 cm²</w:t>
            </w:r>
          </w:p>
        </w:tc>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4B967F64" w14:textId="77777777" w:rsidR="00CD5946" w:rsidRDefault="00000000">
            <w:pPr>
              <w:spacing w:before="20" w:after="20" w:line="252" w:lineRule="auto"/>
            </w:pPr>
            <w:r>
              <w:rPr>
                <w:rFonts w:ascii="Arial" w:eastAsia="Arial" w:hAnsi="Arial"/>
                <w:color w:val="333333"/>
                <w:sz w:val="20"/>
                <w:szCs w:val="20"/>
              </w:rPr>
              <w:t>From surface-area register</w:t>
            </w:r>
          </w:p>
        </w:tc>
      </w:tr>
      <w:tr w:rsidR="00CD5946" w14:paraId="10CCE2EB" w14:textId="77777777">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4AF7E2C5" w14:textId="77777777" w:rsidR="00CD5946" w:rsidRDefault="00000000">
            <w:pPr>
              <w:spacing w:before="20" w:after="20" w:line="252" w:lineRule="auto"/>
            </w:pPr>
            <w:r>
              <w:rPr>
                <w:rFonts w:ascii="Arial" w:eastAsia="Arial" w:hAnsi="Arial"/>
                <w:color w:val="333333"/>
                <w:sz w:val="20"/>
                <w:szCs w:val="20"/>
              </w:rPr>
              <w:t>Surface limit L = MACO ÷ area</w:t>
            </w:r>
          </w:p>
        </w:tc>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22C36D7E" w14:textId="77777777" w:rsidR="00CD5946" w:rsidRDefault="00000000">
            <w:pPr>
              <w:spacing w:before="20" w:after="20" w:line="252" w:lineRule="auto"/>
            </w:pPr>
            <w:r>
              <w:rPr>
                <w:rFonts w:ascii="Arial" w:eastAsia="Arial" w:hAnsi="Arial"/>
                <w:b/>
                <w:bCs/>
                <w:color w:val="333333"/>
                <w:sz w:val="20"/>
                <w:szCs w:val="20"/>
              </w:rPr>
              <w:t>5,000 ÷ 200,000 = 0.025 mg/cm²</w:t>
            </w:r>
          </w:p>
        </w:tc>
        <w:tc>
          <w:tcPr>
            <w:tcW w:w="3120" w:type="dxa"/>
            <w:tcBorders>
              <w:top w:val="single" w:sz="4" w:space="0" w:color="CCCCCC"/>
              <w:left w:val="single" w:sz="4" w:space="0" w:color="CCCCCC"/>
              <w:bottom w:val="single" w:sz="4" w:space="0" w:color="CCCCCC"/>
              <w:right w:val="single" w:sz="4" w:space="0" w:color="CCCCCC"/>
            </w:tcBorders>
            <w:shd w:val="clear" w:color="auto" w:fill="F2F2F2"/>
          </w:tcPr>
          <w:p w14:paraId="3E4C5104" w14:textId="77777777" w:rsidR="00CD5946" w:rsidRDefault="00000000">
            <w:pPr>
              <w:spacing w:before="20" w:after="20" w:line="252" w:lineRule="auto"/>
            </w:pPr>
            <w:r>
              <w:rPr>
                <w:rFonts w:ascii="Arial" w:eastAsia="Arial" w:hAnsi="Arial"/>
                <w:color w:val="333333"/>
                <w:sz w:val="20"/>
                <w:szCs w:val="20"/>
              </w:rPr>
              <w:t>= 25 µg/cm²</w:t>
            </w:r>
          </w:p>
        </w:tc>
      </w:tr>
      <w:tr w:rsidR="00CD5946" w14:paraId="64B30AD7" w14:textId="77777777">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1F2A0A65" w14:textId="77777777" w:rsidR="00CD5946" w:rsidRDefault="00000000">
            <w:pPr>
              <w:spacing w:before="20" w:after="20" w:line="252" w:lineRule="auto"/>
            </w:pPr>
            <w:r>
              <w:rPr>
                <w:rFonts w:ascii="Arial" w:eastAsia="Arial" w:hAnsi="Arial"/>
                <w:color w:val="333333"/>
                <w:sz w:val="20"/>
                <w:szCs w:val="20"/>
              </w:rPr>
              <w:t>Swab acceptance (25 cm² swab, 80% recovery)</w:t>
            </w:r>
          </w:p>
        </w:tc>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2ADD80EF" w14:textId="77777777" w:rsidR="00CD5946" w:rsidRDefault="00000000">
            <w:pPr>
              <w:spacing w:before="20" w:after="20" w:line="252" w:lineRule="auto"/>
            </w:pPr>
            <w:r>
              <w:rPr>
                <w:rFonts w:ascii="Arial" w:eastAsia="Arial" w:hAnsi="Arial"/>
                <w:b/>
                <w:bCs/>
                <w:color w:val="333333"/>
                <w:sz w:val="20"/>
                <w:szCs w:val="20"/>
              </w:rPr>
              <w:t>0.025 × 25 × 0.80 = 0.5 mg/swab</w:t>
            </w:r>
          </w:p>
        </w:tc>
        <w:tc>
          <w:tcPr>
            <w:tcW w:w="3120" w:type="dxa"/>
            <w:tcBorders>
              <w:top w:val="single" w:sz="4" w:space="0" w:color="CCCCCC"/>
              <w:left w:val="single" w:sz="4" w:space="0" w:color="CCCCCC"/>
              <w:bottom w:val="single" w:sz="4" w:space="0" w:color="CCCCCC"/>
              <w:right w:val="single" w:sz="4" w:space="0" w:color="CCCCCC"/>
            </w:tcBorders>
            <w:shd w:val="clear" w:color="auto" w:fill="FFFFFF"/>
          </w:tcPr>
          <w:p w14:paraId="0EA82C2A" w14:textId="77777777" w:rsidR="00CD5946" w:rsidRDefault="00000000">
            <w:pPr>
              <w:spacing w:before="20" w:after="20" w:line="252" w:lineRule="auto"/>
            </w:pPr>
            <w:r>
              <w:rPr>
                <w:rFonts w:ascii="Arial" w:eastAsia="Arial" w:hAnsi="Arial"/>
                <w:color w:val="333333"/>
                <w:sz w:val="20"/>
                <w:szCs w:val="20"/>
              </w:rPr>
              <w:t>Must be ≥ analytical LOQ</w:t>
            </w:r>
          </w:p>
        </w:tc>
      </w:tr>
    </w:tbl>
    <w:p w14:paraId="43B3D42A" w14:textId="77777777" w:rsidR="00CD5946" w:rsidRDefault="00000000">
      <w:pPr>
        <w:spacing w:after="80" w:line="266" w:lineRule="auto"/>
      </w:pPr>
      <w:r>
        <w:rPr>
          <w:rFonts w:ascii="Arial" w:eastAsia="Arial" w:hAnsi="Arial"/>
          <w:i/>
          <w:iCs/>
          <w:color w:val="666666"/>
          <w:sz w:val="18"/>
          <w:szCs w:val="18"/>
        </w:rPr>
        <w:t>Decision rule. Adopt the most stringent (lowest) of the HBEL-based limit, the visually-clean limit, and any general limit (e.g., 10 ppm). Applied to this example: the 10 ppm rule gives 10 ppm × 50 kg = 500 mg — ten times tighter than the 5 000 mg MACO — so the adopted limit is 500 mg, i.e. 0.0025 mg/cm² × 25 cm² × 0.80 = 0.05 mg/swab. The HBEL-derived limit is the safety ceiling that shall never be exceeded; a tighter traditional limit may be retained as the working default (cf. Appendix B, Cleaning Validation). Confirm the method LOQ is below the chosen swab acceptance, or the limit is not verifiable.</w:t>
      </w:r>
    </w:p>
    <w:p w14:paraId="64DF24F9" w14:textId="77777777" w:rsidR="00CD5946" w:rsidRDefault="00000000">
      <w:pPr>
        <w:bidi/>
        <w:spacing w:after="150" w:line="300" w:lineRule="auto"/>
        <w:jc w:val="right"/>
      </w:pPr>
      <w:r>
        <w:rPr>
          <w:rFonts w:ascii="Arial" w:eastAsia="Arial" w:hAnsi="Arial"/>
          <w:color w:val="333333"/>
          <w:sz w:val="20"/>
          <w:szCs w:val="20"/>
          <w:rtl/>
        </w:rPr>
        <w:t xml:space="preserve">المعطيات: التعرّض اليومي المسموح لـ </w:t>
      </w:r>
      <w:r>
        <w:rPr>
          <w:rFonts w:ascii="Arial" w:eastAsia="Arial" w:hAnsi="Arial"/>
          <w:color w:val="333333"/>
          <w:sz w:val="20"/>
          <w:szCs w:val="20"/>
        </w:rPr>
        <w:t>A = 0.10</w:t>
      </w:r>
      <w:r>
        <w:rPr>
          <w:rFonts w:ascii="Arial" w:eastAsia="Arial" w:hAnsi="Arial"/>
          <w:color w:val="333333"/>
          <w:sz w:val="20"/>
          <w:szCs w:val="20"/>
          <w:rtl/>
        </w:rPr>
        <w:t xml:space="preserve"> ملغم/يوم؛ أصغر دفعة لـ </w:t>
      </w:r>
      <w:r>
        <w:rPr>
          <w:rFonts w:ascii="Arial" w:eastAsia="Arial" w:hAnsi="Arial"/>
          <w:color w:val="333333"/>
          <w:sz w:val="20"/>
          <w:szCs w:val="20"/>
        </w:rPr>
        <w:t>B = 50</w:t>
      </w:r>
      <w:r>
        <w:rPr>
          <w:rFonts w:ascii="Arial" w:eastAsia="Arial" w:hAnsi="Arial"/>
          <w:color w:val="333333"/>
          <w:sz w:val="20"/>
          <w:szCs w:val="20"/>
          <w:rtl/>
        </w:rPr>
        <w:t xml:space="preserve"> كغم؛ أقصى جرعة يومية لـ </w:t>
      </w:r>
      <w:r>
        <w:rPr>
          <w:rFonts w:ascii="Arial" w:eastAsia="Arial" w:hAnsi="Arial"/>
          <w:color w:val="333333"/>
          <w:sz w:val="20"/>
          <w:szCs w:val="20"/>
        </w:rPr>
        <w:t>B = 1000</w:t>
      </w:r>
      <w:r>
        <w:rPr>
          <w:rFonts w:ascii="Arial" w:eastAsia="Arial" w:hAnsi="Arial"/>
          <w:color w:val="333333"/>
          <w:sz w:val="20"/>
          <w:szCs w:val="20"/>
          <w:rtl/>
        </w:rPr>
        <w:t xml:space="preserve"> ملغم/يوم. الحساب: أقصى محمول = (</w:t>
      </w:r>
      <w:r>
        <w:rPr>
          <w:rFonts w:ascii="Arial" w:eastAsia="Arial" w:hAnsi="Arial"/>
          <w:color w:val="333333"/>
          <w:sz w:val="20"/>
          <w:szCs w:val="20"/>
        </w:rPr>
        <w:t>0.10</w:t>
      </w:r>
      <w:r>
        <w:rPr>
          <w:rFonts w:ascii="Arial" w:eastAsia="Arial" w:hAnsi="Arial"/>
          <w:color w:val="333333"/>
          <w:sz w:val="20"/>
          <w:szCs w:val="20"/>
          <w:rtl/>
        </w:rPr>
        <w:t xml:space="preserve"> × </w:t>
      </w:r>
      <w:r>
        <w:rPr>
          <w:rFonts w:ascii="Arial" w:eastAsia="Arial" w:hAnsi="Arial"/>
          <w:color w:val="333333"/>
          <w:sz w:val="20"/>
          <w:szCs w:val="20"/>
        </w:rPr>
        <w:t>50,000,000</w:t>
      </w:r>
      <w:r>
        <w:rPr>
          <w:rFonts w:ascii="Arial" w:eastAsia="Arial" w:hAnsi="Arial"/>
          <w:color w:val="333333"/>
          <w:sz w:val="20"/>
          <w:szCs w:val="20"/>
          <w:rtl/>
        </w:rPr>
        <w:t xml:space="preserve">) ÷ </w:t>
      </w:r>
      <w:r>
        <w:rPr>
          <w:rFonts w:ascii="Arial" w:eastAsia="Arial" w:hAnsi="Arial"/>
          <w:color w:val="333333"/>
          <w:sz w:val="20"/>
          <w:szCs w:val="20"/>
        </w:rPr>
        <w:t>1000</w:t>
      </w:r>
      <w:r>
        <w:rPr>
          <w:rFonts w:ascii="Arial" w:eastAsia="Arial" w:hAnsi="Arial"/>
          <w:color w:val="333333"/>
          <w:sz w:val="20"/>
          <w:szCs w:val="20"/>
          <w:rtl/>
        </w:rPr>
        <w:t xml:space="preserve"> = </w:t>
      </w:r>
      <w:r>
        <w:rPr>
          <w:rFonts w:ascii="Arial" w:eastAsia="Arial" w:hAnsi="Arial"/>
          <w:color w:val="333333"/>
          <w:sz w:val="20"/>
          <w:szCs w:val="20"/>
        </w:rPr>
        <w:t>5000</w:t>
      </w:r>
      <w:r>
        <w:rPr>
          <w:rFonts w:ascii="Arial" w:eastAsia="Arial" w:hAnsi="Arial"/>
          <w:color w:val="333333"/>
          <w:sz w:val="20"/>
          <w:szCs w:val="20"/>
          <w:rtl/>
        </w:rPr>
        <w:t xml:space="preserve"> ملغم = </w:t>
      </w:r>
      <w:r>
        <w:rPr>
          <w:rFonts w:ascii="Arial" w:eastAsia="Arial" w:hAnsi="Arial"/>
          <w:color w:val="333333"/>
          <w:sz w:val="20"/>
          <w:szCs w:val="20"/>
        </w:rPr>
        <w:t>5.0</w:t>
      </w:r>
      <w:r>
        <w:rPr>
          <w:rFonts w:ascii="Arial" w:eastAsia="Arial" w:hAnsi="Arial"/>
          <w:color w:val="333333"/>
          <w:sz w:val="20"/>
          <w:szCs w:val="20"/>
          <w:rtl/>
        </w:rPr>
        <w:t xml:space="preserve"> غم في كامل دفعة </w:t>
      </w:r>
      <w:r>
        <w:rPr>
          <w:rFonts w:ascii="Arial" w:eastAsia="Arial" w:hAnsi="Arial"/>
          <w:color w:val="333333"/>
          <w:sz w:val="20"/>
          <w:szCs w:val="20"/>
        </w:rPr>
        <w:t>B</w:t>
      </w:r>
      <w:r>
        <w:rPr>
          <w:rFonts w:ascii="Arial" w:eastAsia="Arial" w:hAnsi="Arial"/>
          <w:color w:val="333333"/>
          <w:sz w:val="20"/>
          <w:szCs w:val="20"/>
          <w:rtl/>
        </w:rPr>
        <w:t xml:space="preserve">. مساحة التلامس = </w:t>
      </w:r>
      <w:r>
        <w:rPr>
          <w:rFonts w:ascii="Arial" w:eastAsia="Arial" w:hAnsi="Arial"/>
          <w:color w:val="333333"/>
          <w:sz w:val="20"/>
          <w:szCs w:val="20"/>
        </w:rPr>
        <w:t>200,000</w:t>
      </w:r>
      <w:r>
        <w:rPr>
          <w:rFonts w:ascii="Arial" w:eastAsia="Arial" w:hAnsi="Arial"/>
          <w:color w:val="333333"/>
          <w:sz w:val="20"/>
          <w:szCs w:val="20"/>
          <w:rtl/>
        </w:rPr>
        <w:t xml:space="preserve"> سم</w:t>
      </w:r>
      <w:r>
        <w:rPr>
          <w:rFonts w:ascii="Arial" w:eastAsia="Arial" w:hAnsi="Arial"/>
          <w:color w:val="333333"/>
          <w:sz w:val="20"/>
          <w:szCs w:val="20"/>
        </w:rPr>
        <w:t>²</w:t>
      </w:r>
      <w:r>
        <w:rPr>
          <w:rFonts w:ascii="Arial" w:eastAsia="Arial" w:hAnsi="Arial"/>
          <w:color w:val="333333"/>
          <w:sz w:val="20"/>
          <w:szCs w:val="20"/>
          <w:rtl/>
        </w:rPr>
        <w:t xml:space="preserve">؛ الحدّ السطحي = </w:t>
      </w:r>
      <w:r>
        <w:rPr>
          <w:rFonts w:ascii="Arial" w:eastAsia="Arial" w:hAnsi="Arial"/>
          <w:color w:val="333333"/>
          <w:sz w:val="20"/>
          <w:szCs w:val="20"/>
        </w:rPr>
        <w:t>0.025</w:t>
      </w:r>
      <w:r>
        <w:rPr>
          <w:rFonts w:ascii="Arial" w:eastAsia="Arial" w:hAnsi="Arial"/>
          <w:color w:val="333333"/>
          <w:sz w:val="20"/>
          <w:szCs w:val="20"/>
          <w:rtl/>
        </w:rPr>
        <w:t xml:space="preserve"> ملغم/سم</w:t>
      </w:r>
      <w:r>
        <w:rPr>
          <w:rFonts w:ascii="Arial" w:eastAsia="Arial" w:hAnsi="Arial"/>
          <w:color w:val="333333"/>
          <w:sz w:val="20"/>
          <w:szCs w:val="20"/>
        </w:rPr>
        <w:t>²</w:t>
      </w:r>
      <w:r>
        <w:rPr>
          <w:rFonts w:ascii="Arial" w:eastAsia="Arial" w:hAnsi="Arial"/>
          <w:color w:val="333333"/>
          <w:sz w:val="20"/>
          <w:szCs w:val="20"/>
          <w:rtl/>
        </w:rPr>
        <w:t xml:space="preserve"> = </w:t>
      </w:r>
      <w:r>
        <w:rPr>
          <w:rFonts w:ascii="Arial" w:eastAsia="Arial" w:hAnsi="Arial"/>
          <w:color w:val="333333"/>
          <w:sz w:val="20"/>
          <w:szCs w:val="20"/>
        </w:rPr>
        <w:t>25</w:t>
      </w:r>
      <w:r>
        <w:rPr>
          <w:rFonts w:ascii="Arial" w:eastAsia="Arial" w:hAnsi="Arial"/>
          <w:color w:val="333333"/>
          <w:sz w:val="20"/>
          <w:szCs w:val="20"/>
          <w:rtl/>
        </w:rPr>
        <w:t xml:space="preserve"> ميكروغرام/سم</w:t>
      </w:r>
      <w:r>
        <w:rPr>
          <w:rFonts w:ascii="Arial" w:eastAsia="Arial" w:hAnsi="Arial"/>
          <w:color w:val="333333"/>
          <w:sz w:val="20"/>
          <w:szCs w:val="20"/>
        </w:rPr>
        <w:t>²</w:t>
      </w:r>
      <w:r>
        <w:rPr>
          <w:rFonts w:ascii="Arial" w:eastAsia="Arial" w:hAnsi="Arial"/>
          <w:color w:val="333333"/>
          <w:sz w:val="20"/>
          <w:szCs w:val="20"/>
          <w:rtl/>
        </w:rPr>
        <w:t>؛ حدّ المسحة (</w:t>
      </w:r>
      <w:r>
        <w:rPr>
          <w:rFonts w:ascii="Arial" w:eastAsia="Arial" w:hAnsi="Arial"/>
          <w:color w:val="333333"/>
          <w:sz w:val="20"/>
          <w:szCs w:val="20"/>
        </w:rPr>
        <w:t>25</w:t>
      </w:r>
      <w:r>
        <w:rPr>
          <w:rFonts w:ascii="Arial" w:eastAsia="Arial" w:hAnsi="Arial"/>
          <w:color w:val="333333"/>
          <w:sz w:val="20"/>
          <w:szCs w:val="20"/>
          <w:rtl/>
        </w:rPr>
        <w:t xml:space="preserve"> سم</w:t>
      </w:r>
      <w:r>
        <w:rPr>
          <w:rFonts w:ascii="Arial" w:eastAsia="Arial" w:hAnsi="Arial"/>
          <w:color w:val="333333"/>
          <w:sz w:val="20"/>
          <w:szCs w:val="20"/>
        </w:rPr>
        <w:t>²</w:t>
      </w:r>
      <w:r>
        <w:rPr>
          <w:rFonts w:ascii="Arial" w:eastAsia="Arial" w:hAnsi="Arial"/>
          <w:color w:val="333333"/>
          <w:sz w:val="20"/>
          <w:szCs w:val="20"/>
          <w:rtl/>
        </w:rPr>
        <w:t xml:space="preserve">، استرداد </w:t>
      </w:r>
      <w:r>
        <w:rPr>
          <w:rFonts w:ascii="Arial" w:eastAsia="Arial" w:hAnsi="Arial"/>
          <w:color w:val="333333"/>
          <w:sz w:val="20"/>
          <w:szCs w:val="20"/>
        </w:rPr>
        <w:t>80</w:t>
      </w:r>
      <w:r>
        <w:rPr>
          <w:rFonts w:ascii="Arial" w:eastAsia="Arial" w:hAnsi="Arial"/>
          <w:color w:val="333333"/>
          <w:sz w:val="20"/>
          <w:szCs w:val="20"/>
          <w:rtl/>
        </w:rPr>
        <w:t xml:space="preserve">%) = </w:t>
      </w:r>
      <w:r>
        <w:rPr>
          <w:rFonts w:ascii="Arial" w:eastAsia="Arial" w:hAnsi="Arial"/>
          <w:color w:val="333333"/>
          <w:sz w:val="20"/>
          <w:szCs w:val="20"/>
        </w:rPr>
        <w:t>0.5</w:t>
      </w:r>
      <w:r>
        <w:rPr>
          <w:rFonts w:ascii="Arial" w:eastAsia="Arial" w:hAnsi="Arial"/>
          <w:color w:val="333333"/>
          <w:sz w:val="20"/>
          <w:szCs w:val="20"/>
          <w:rtl/>
        </w:rPr>
        <w:t xml:space="preserve"> ملغم/مسحة. القاعدة: يُعتمد الأدنى بين الحدّ المبني على الصحة وحدّ النظافة البصرية والحدّ العام. وفي هذا المثال يعطي حدّ 10 أجزاء بالمليون 500 ملغم، وهو أشدّ عشر مرات من 5000 ملغم، فيُعتمد 500 ملغم أي 0.05 ملغم للمسحة. ويبقى الحدّ المبني على الصحة سقف السلامة الذي لا يُتجاوز، ويجوز الإبقاء على الحدّ التقليدي الأشدّ حدّاً تشغيلياً.</w:t>
      </w:r>
    </w:p>
    <w:p w14:paraId="5F9A5CDD" w14:textId="77777777" w:rsidR="00CD5946" w:rsidRDefault="00000000">
      <w:pPr>
        <w:pStyle w:val="Heading1"/>
      </w:pPr>
      <w:bookmarkStart w:id="297" w:name="__RefHeading___Toc28277_1371984443"/>
      <w:bookmarkEnd w:id="297"/>
      <w:r>
        <w:t xml:space="preserve">Arab Annex A-AI — Governance of AI/ML Applications in GMP  ·  </w:t>
      </w:r>
      <w:r>
        <w:rPr>
          <w:rtl/>
        </w:rPr>
        <w:t>الملحق العربي</w:t>
      </w:r>
      <w:r>
        <w:t xml:space="preserve"> A-AI — </w:t>
      </w:r>
      <w:r>
        <w:rPr>
          <w:rtl/>
        </w:rPr>
        <w:t>حوكمة تطبيقات الذكاء الاصطناعي</w:t>
      </w:r>
    </w:p>
    <w:p w14:paraId="3FE98684" w14:textId="77777777" w:rsidR="00CD5946" w:rsidRDefault="00000000">
      <w:pPr>
        <w:pBdr>
          <w:top w:val="single" w:sz="4" w:space="4" w:color="B6892E"/>
          <w:left w:val="single" w:sz="18" w:space="4" w:color="B6892E"/>
          <w:bottom w:val="single" w:sz="4" w:space="4" w:color="B6892E"/>
          <w:right w:val="single" w:sz="4" w:space="4" w:color="B6892E"/>
        </w:pBdr>
        <w:shd w:val="clear" w:color="auto" w:fill="F6EEDD"/>
        <w:spacing w:after="40" w:line="266" w:lineRule="auto"/>
      </w:pPr>
      <w:r>
        <w:rPr>
          <w:rFonts w:ascii="Arial" w:eastAsia="Arial" w:hAnsi="Arial"/>
          <w:color w:val="333333"/>
        </w:rPr>
        <w:t>Status — anticipatory / for transition. This annex anticipates the draft EU/PIC-S Annex 22 (Artificial Intelligence, 2025). It is offered so adopters may prepare; it becomes a requirement only when an adopting authority brings it into force. Until then it is a recommendation; upon adoption, “shall” in this annex becomes binding.</w:t>
      </w:r>
    </w:p>
    <w:p w14:paraId="7CDA55EF" w14:textId="77777777" w:rsidR="00CD5946" w:rsidRDefault="00000000">
      <w:pPr>
        <w:bidi/>
        <w:spacing w:after="150" w:line="300" w:lineRule="auto"/>
        <w:jc w:val="right"/>
      </w:pPr>
      <w:r>
        <w:rPr>
          <w:rFonts w:ascii="Arial" w:eastAsia="Arial" w:hAnsi="Arial"/>
          <w:color w:val="333333"/>
          <w:sz w:val="20"/>
          <w:szCs w:val="20"/>
          <w:rtl/>
        </w:rPr>
        <w:lastRenderedPageBreak/>
        <w:t xml:space="preserve">الحالة — استباقي/انتقالي: يستبق هذا الملحق مسودّة الملحق </w:t>
      </w:r>
      <w:r>
        <w:rPr>
          <w:rFonts w:ascii="Arial" w:eastAsia="Arial" w:hAnsi="Arial"/>
          <w:color w:val="333333"/>
          <w:sz w:val="20"/>
          <w:szCs w:val="20"/>
        </w:rPr>
        <w:t>22</w:t>
      </w:r>
      <w:r>
        <w:rPr>
          <w:rFonts w:ascii="Arial" w:eastAsia="Arial" w:hAnsi="Arial"/>
          <w:color w:val="333333"/>
          <w:sz w:val="20"/>
          <w:szCs w:val="20"/>
          <w:rtl/>
        </w:rPr>
        <w:t xml:space="preserve"> (الذكاء الاصطناعي، </w:t>
      </w:r>
      <w:r>
        <w:rPr>
          <w:rFonts w:ascii="Arial" w:eastAsia="Arial" w:hAnsi="Arial"/>
          <w:color w:val="333333"/>
          <w:sz w:val="20"/>
          <w:szCs w:val="20"/>
        </w:rPr>
        <w:t>2025</w:t>
      </w:r>
      <w:r>
        <w:rPr>
          <w:rFonts w:ascii="Arial" w:eastAsia="Arial" w:hAnsi="Arial"/>
          <w:color w:val="333333"/>
          <w:sz w:val="20"/>
          <w:szCs w:val="20"/>
          <w:rtl/>
        </w:rPr>
        <w:t>)، ولا يصبح متطلّباً إلا عند إنفاذه؛ وحتّى ذلك هو توصية.</w:t>
      </w:r>
    </w:p>
    <w:p w14:paraId="5F1FA5D0" w14:textId="77777777" w:rsidR="00CD5946" w:rsidRDefault="00000000">
      <w:pPr>
        <w:pStyle w:val="Heading2"/>
        <w:spacing w:before="220" w:after="100"/>
      </w:pPr>
      <w:bookmarkStart w:id="298" w:name="__RefHeading___Toc28279_1371984443"/>
      <w:bookmarkEnd w:id="298"/>
      <w:r>
        <w:rPr>
          <w:sz w:val="25"/>
          <w:szCs w:val="25"/>
        </w:rPr>
        <w:t xml:space="preserve">Principle  ·  </w:t>
      </w:r>
      <w:r>
        <w:rPr>
          <w:sz w:val="25"/>
          <w:szCs w:val="25"/>
          <w:rtl/>
        </w:rPr>
        <w:t>المبدأ</w:t>
      </w:r>
    </w:p>
    <w:p w14:paraId="5C28FD4B" w14:textId="77777777" w:rsidR="00CD5946" w:rsidRDefault="00000000">
      <w:pPr>
        <w:spacing w:after="40" w:line="266" w:lineRule="auto"/>
        <w:ind w:left="300" w:hanging="300"/>
      </w:pPr>
      <w:r>
        <w:rPr>
          <w:rFonts w:ascii="Arial" w:eastAsia="Arial" w:hAnsi="Arial"/>
          <w:b/>
          <w:bCs/>
          <w:color w:val="15512F"/>
        </w:rPr>
        <w:t xml:space="preserve">A-AI.0  </w:t>
      </w:r>
      <w:r>
        <w:rPr>
          <w:rFonts w:ascii="Arial" w:eastAsia="Arial" w:hAnsi="Arial"/>
          <w:color w:val="333333"/>
        </w:rPr>
        <w:t>Where AI/ML models are used in activities subject to GMP — in manufacture, quality control, the quality system or decisions affecting product quality, patient safety or data integrity — the application shall be governed within the Pharmaceutical Quality System, subject to Quality Risk Management (ICH Q9(R1)) and to the computerised-systems controls of Annex 11, with a defined intended use, validated performance and meaningful human oversight.</w:t>
      </w:r>
    </w:p>
    <w:p w14:paraId="2B8A1332"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حيثما تُستخدم نماذج الذكاء الاصطناعي أو تعلّم الآلة في أنشطة خاضعة للممارسات، يُحكم التطبيق ضمن نظام الجودة الصيدلاني وإدارة المخاطر وضوابط الملحق </w:t>
      </w:r>
      <w:r>
        <w:rPr>
          <w:rFonts w:ascii="Arial" w:eastAsia="Arial" w:hAnsi="Arial"/>
          <w:color w:val="333333"/>
          <w:sz w:val="20"/>
          <w:szCs w:val="20"/>
        </w:rPr>
        <w:t>11</w:t>
      </w:r>
      <w:r>
        <w:rPr>
          <w:rFonts w:ascii="Arial" w:eastAsia="Arial" w:hAnsi="Arial"/>
          <w:color w:val="333333"/>
          <w:sz w:val="20"/>
          <w:szCs w:val="20"/>
          <w:rtl/>
        </w:rPr>
        <w:t>، باستخدام مقصود محدّد وأداء مُتحقّق منه وإشراف بشري فعّال.</w:t>
      </w:r>
      <w:r>
        <w:rPr>
          <w:rFonts w:ascii="Arial" w:eastAsia="Arial" w:hAnsi="Arial"/>
          <w:b/>
          <w:bCs/>
          <w:color w:val="15512F"/>
          <w:sz w:val="20"/>
          <w:szCs w:val="20"/>
          <w:rtl/>
        </w:rPr>
        <w:t xml:space="preserve">  </w:t>
      </w:r>
      <w:r>
        <w:rPr>
          <w:rFonts w:ascii="Arial" w:eastAsia="Arial" w:hAnsi="Arial"/>
          <w:b/>
          <w:bCs/>
          <w:color w:val="15512F"/>
          <w:sz w:val="20"/>
          <w:szCs w:val="20"/>
        </w:rPr>
        <w:t>A-AI.0</w:t>
      </w:r>
    </w:p>
    <w:p w14:paraId="6B0F1CAF" w14:textId="77777777" w:rsidR="00CD5946" w:rsidRDefault="00000000">
      <w:pPr>
        <w:pStyle w:val="Heading2"/>
        <w:spacing w:before="220" w:after="100"/>
      </w:pPr>
      <w:bookmarkStart w:id="299" w:name="__RefHeading___Toc28281_1371984443"/>
      <w:bookmarkEnd w:id="299"/>
      <w:r>
        <w:rPr>
          <w:sz w:val="25"/>
          <w:szCs w:val="25"/>
        </w:rPr>
        <w:t xml:space="preserve">Requirements  ·  </w:t>
      </w:r>
      <w:r>
        <w:rPr>
          <w:sz w:val="25"/>
          <w:szCs w:val="25"/>
          <w:rtl/>
        </w:rPr>
        <w:t>المتطلّبات</w:t>
      </w:r>
    </w:p>
    <w:p w14:paraId="3DCC5644" w14:textId="77777777" w:rsidR="00CD5946" w:rsidRDefault="00000000">
      <w:pPr>
        <w:spacing w:after="40" w:line="266" w:lineRule="auto"/>
        <w:ind w:left="300" w:hanging="300"/>
      </w:pPr>
      <w:r>
        <w:rPr>
          <w:rFonts w:ascii="Arial" w:eastAsia="Arial" w:hAnsi="Arial"/>
          <w:b/>
          <w:bCs/>
          <w:color w:val="15512F"/>
        </w:rPr>
        <w:t xml:space="preserve">A-AI.1  </w:t>
      </w:r>
      <w:r>
        <w:rPr>
          <w:rFonts w:ascii="Arial" w:eastAsia="Arial" w:hAnsi="Arial"/>
          <w:color w:val="333333"/>
        </w:rPr>
        <w:t>Intended use and risk classification. The intended use shall be defined in writing and the model classified by its impact on product quality, patient safety and data integrity; higher-impact uses attract proportionately greater rigour. Models that take or directly inform GMP decisions are high-impact.</w:t>
      </w:r>
    </w:p>
    <w:p w14:paraId="63164FBC" w14:textId="77777777" w:rsidR="00CD5946" w:rsidRDefault="00000000">
      <w:pPr>
        <w:bidi/>
        <w:spacing w:after="150" w:line="300" w:lineRule="auto"/>
        <w:ind w:right="300" w:hanging="300"/>
        <w:jc w:val="right"/>
      </w:pPr>
      <w:r>
        <w:rPr>
          <w:rFonts w:ascii="Arial" w:eastAsia="Arial" w:hAnsi="Arial"/>
          <w:color w:val="333333"/>
          <w:sz w:val="20"/>
          <w:szCs w:val="20"/>
          <w:rtl/>
        </w:rPr>
        <w:t>الاستخدام المقصود وتصنيف المخاطر: يُحدّد الاستخدام كتابةً ويُصنّف النموذج بحسب أثره في جودة المنتج وسلامة المريض وسلامة البيانات.</w:t>
      </w:r>
      <w:r>
        <w:rPr>
          <w:rFonts w:ascii="Arial" w:eastAsia="Arial" w:hAnsi="Arial"/>
          <w:b/>
          <w:bCs/>
          <w:color w:val="15512F"/>
          <w:sz w:val="20"/>
          <w:szCs w:val="20"/>
          <w:rtl/>
        </w:rPr>
        <w:t xml:space="preserve">  </w:t>
      </w:r>
      <w:r>
        <w:rPr>
          <w:rFonts w:ascii="Arial" w:eastAsia="Arial" w:hAnsi="Arial"/>
          <w:b/>
          <w:bCs/>
          <w:color w:val="15512F"/>
          <w:sz w:val="20"/>
          <w:szCs w:val="20"/>
        </w:rPr>
        <w:t>A-AI.1</w:t>
      </w:r>
    </w:p>
    <w:p w14:paraId="69FDC1C0" w14:textId="77777777" w:rsidR="00CD5946" w:rsidRDefault="00000000">
      <w:pPr>
        <w:spacing w:after="40" w:line="266" w:lineRule="auto"/>
        <w:ind w:left="300" w:hanging="300"/>
      </w:pPr>
      <w:r>
        <w:rPr>
          <w:rFonts w:ascii="Arial" w:eastAsia="Arial" w:hAnsi="Arial"/>
          <w:b/>
          <w:bCs/>
          <w:color w:val="15512F"/>
        </w:rPr>
        <w:t xml:space="preserve">A-AI.2  </w:t>
      </w:r>
      <w:r>
        <w:rPr>
          <w:rFonts w:ascii="Arial" w:eastAsia="Arial" w:hAnsi="Arial"/>
          <w:color w:val="333333"/>
        </w:rPr>
        <w:t>Data governance. Training, validation and test datasets shall be representative, of documented quality and provenance, version-controlled and free of leakage between training and test sets; bias and data drift shall be assessed.</w:t>
      </w:r>
    </w:p>
    <w:p w14:paraId="46FED684" w14:textId="77777777" w:rsidR="00CD5946" w:rsidRDefault="00000000">
      <w:pPr>
        <w:bidi/>
        <w:spacing w:after="150" w:line="300" w:lineRule="auto"/>
        <w:ind w:right="300" w:hanging="300"/>
        <w:jc w:val="right"/>
      </w:pPr>
      <w:r>
        <w:rPr>
          <w:rFonts w:ascii="Arial" w:eastAsia="Arial" w:hAnsi="Arial"/>
          <w:color w:val="333333"/>
          <w:sz w:val="20"/>
          <w:szCs w:val="20"/>
          <w:rtl/>
        </w:rPr>
        <w:t>حوكمة البيانات: تكون بيانات التدريب والتحقّق والاختبار ممثّلة وموثّقة الجودة والمصدر وخاضعة لضبط الإصدارات وخالية من التسرّب، مع تقييم التحيّز والانزياح.</w:t>
      </w:r>
      <w:r>
        <w:rPr>
          <w:rFonts w:ascii="Arial" w:eastAsia="Arial" w:hAnsi="Arial"/>
          <w:b/>
          <w:bCs/>
          <w:color w:val="15512F"/>
          <w:sz w:val="20"/>
          <w:szCs w:val="20"/>
          <w:rtl/>
        </w:rPr>
        <w:t xml:space="preserve">  </w:t>
      </w:r>
      <w:r>
        <w:rPr>
          <w:rFonts w:ascii="Arial" w:eastAsia="Arial" w:hAnsi="Arial"/>
          <w:b/>
          <w:bCs/>
          <w:color w:val="15512F"/>
          <w:sz w:val="20"/>
          <w:szCs w:val="20"/>
        </w:rPr>
        <w:t>A-AI.2</w:t>
      </w:r>
    </w:p>
    <w:p w14:paraId="397851C8" w14:textId="77777777" w:rsidR="00CD5946" w:rsidRDefault="00000000">
      <w:pPr>
        <w:spacing w:after="40" w:line="266" w:lineRule="auto"/>
        <w:ind w:left="300" w:hanging="300"/>
      </w:pPr>
      <w:r>
        <w:rPr>
          <w:rFonts w:ascii="Arial" w:eastAsia="Arial" w:hAnsi="Arial"/>
          <w:b/>
          <w:bCs/>
          <w:color w:val="15512F"/>
        </w:rPr>
        <w:t xml:space="preserve">A-AI.3  </w:t>
      </w:r>
      <w:r>
        <w:rPr>
          <w:rFonts w:ascii="Arial" w:eastAsia="Arial" w:hAnsi="Arial"/>
          <w:color w:val="333333"/>
        </w:rPr>
        <w:t>Model development and validation. The model shall be validated against predefined, intended-use-based acceptance criteria and performance metrics, using independent test data not used in training, documented under Annex 15/Annex 11 principles.</w:t>
      </w:r>
    </w:p>
    <w:p w14:paraId="57E6389A"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تطوير النموذج والتحقّق: يُتحقّق وفق معايير قبول محدّدة سلفاً باستخدام بيانات اختبار مستقلّة، وتُوثّق وفق مبادئ الملحقين </w:t>
      </w:r>
      <w:r>
        <w:rPr>
          <w:rFonts w:ascii="Arial" w:eastAsia="Arial" w:hAnsi="Arial"/>
          <w:color w:val="333333"/>
          <w:sz w:val="20"/>
          <w:szCs w:val="20"/>
        </w:rPr>
        <w:t>15</w:t>
      </w:r>
      <w:r>
        <w:rPr>
          <w:rFonts w:ascii="Arial" w:eastAsia="Arial" w:hAnsi="Arial"/>
          <w:color w:val="333333"/>
          <w:sz w:val="20"/>
          <w:szCs w:val="20"/>
          <w:rtl/>
        </w:rPr>
        <w:t xml:space="preserve"> و </w:t>
      </w:r>
      <w:r>
        <w:rPr>
          <w:rFonts w:ascii="Arial" w:eastAsia="Arial" w:hAnsi="Arial"/>
          <w:color w:val="333333"/>
          <w:sz w:val="20"/>
          <w:szCs w:val="20"/>
        </w:rPr>
        <w:t>11</w:t>
      </w:r>
      <w:r>
        <w:rPr>
          <w:rFonts w:ascii="Arial" w:eastAsia="Arial" w:hAnsi="Arial"/>
          <w:color w:val="333333"/>
          <w:sz w:val="20"/>
          <w:szCs w:val="20"/>
          <w:rtl/>
        </w:rPr>
        <w:t>.</w:t>
      </w:r>
      <w:r>
        <w:rPr>
          <w:rFonts w:ascii="Arial" w:eastAsia="Arial" w:hAnsi="Arial"/>
          <w:b/>
          <w:bCs/>
          <w:color w:val="15512F"/>
          <w:sz w:val="20"/>
          <w:szCs w:val="20"/>
          <w:rtl/>
        </w:rPr>
        <w:t xml:space="preserve">  </w:t>
      </w:r>
      <w:r>
        <w:rPr>
          <w:rFonts w:ascii="Arial" w:eastAsia="Arial" w:hAnsi="Arial"/>
          <w:b/>
          <w:bCs/>
          <w:color w:val="15512F"/>
          <w:sz w:val="20"/>
          <w:szCs w:val="20"/>
        </w:rPr>
        <w:t>A-AI.3</w:t>
      </w:r>
    </w:p>
    <w:p w14:paraId="361648B5" w14:textId="77777777" w:rsidR="00CD5946" w:rsidRDefault="00000000">
      <w:pPr>
        <w:spacing w:after="40" w:line="266" w:lineRule="auto"/>
        <w:ind w:left="300" w:hanging="300"/>
      </w:pPr>
      <w:r>
        <w:rPr>
          <w:rFonts w:ascii="Arial" w:eastAsia="Arial" w:hAnsi="Arial"/>
          <w:b/>
          <w:bCs/>
          <w:color w:val="15512F"/>
        </w:rPr>
        <w:t xml:space="preserve">A-AI.4  </w:t>
      </w:r>
      <w:r>
        <w:rPr>
          <w:rFonts w:ascii="Arial" w:eastAsia="Arial" w:hAnsi="Arial"/>
          <w:color w:val="333333"/>
        </w:rPr>
        <w:t>Static (locked) vs dynamic models. Models used in critical GMP applications shall be static (locked) and deterministic in their deployed configuration; continuously-learning (dynamic) models shall not take, or directly inform, critical GMP decisions. Any change to a locked model shall be subject to change control and revalidation as risk dictates (aligned with draft EU/PIC-S Annex 22).</w:t>
      </w:r>
    </w:p>
    <w:p w14:paraId="0FF01CA7" w14:textId="77777777" w:rsidR="00CD5946" w:rsidRDefault="00000000">
      <w:pPr>
        <w:bidi/>
        <w:spacing w:after="150" w:line="300" w:lineRule="auto"/>
        <w:ind w:right="300" w:hanging="300"/>
        <w:jc w:val="right"/>
      </w:pPr>
      <w:r>
        <w:rPr>
          <w:rFonts w:ascii="Arial" w:eastAsia="Arial" w:hAnsi="Arial"/>
          <w:color w:val="333333"/>
          <w:sz w:val="20"/>
          <w:szCs w:val="20"/>
          <w:rtl/>
        </w:rPr>
        <w:t>النماذج الساكنة (المقفلة) مقابل الدينامية: تكون النماذج في التطبيقات الحرجة ساكنة مقفلة ومحدَّدة السلوك؛ ولا تتّخذ النماذج دائمة التعلّم قرارات حرجة ولا تُوجّهها مباشرة. وأيّ تغيير على نموذج مقفل يخضع لضبط التغيير وإعادة التحقّق.</w:t>
      </w:r>
      <w:r>
        <w:rPr>
          <w:rFonts w:ascii="Arial" w:eastAsia="Arial" w:hAnsi="Arial"/>
          <w:b/>
          <w:bCs/>
          <w:color w:val="15512F"/>
          <w:sz w:val="20"/>
          <w:szCs w:val="20"/>
          <w:rtl/>
        </w:rPr>
        <w:t xml:space="preserve">  </w:t>
      </w:r>
      <w:r>
        <w:rPr>
          <w:rFonts w:ascii="Arial" w:eastAsia="Arial" w:hAnsi="Arial"/>
          <w:b/>
          <w:bCs/>
          <w:color w:val="15512F"/>
          <w:sz w:val="20"/>
          <w:szCs w:val="20"/>
        </w:rPr>
        <w:t>A-AI.4</w:t>
      </w:r>
    </w:p>
    <w:p w14:paraId="0987DE6E" w14:textId="77777777" w:rsidR="00CD5946" w:rsidRDefault="00000000">
      <w:pPr>
        <w:spacing w:after="40" w:line="266" w:lineRule="auto"/>
        <w:ind w:left="300" w:hanging="300"/>
      </w:pPr>
      <w:r>
        <w:rPr>
          <w:rFonts w:ascii="Arial" w:eastAsia="Arial" w:hAnsi="Arial"/>
          <w:b/>
          <w:bCs/>
          <w:color w:val="15512F"/>
        </w:rPr>
        <w:t xml:space="preserve">A-AI.5  </w:t>
      </w:r>
      <w:r>
        <w:rPr>
          <w:rFonts w:ascii="Arial" w:eastAsia="Arial" w:hAnsi="Arial"/>
          <w:color w:val="333333"/>
        </w:rPr>
        <w:t>Human oversight and explainability. A qualified person shall retain authority over AI-informed decisions; the basis of the model’s output shall be explainable to the degree needed for that oversight and for assessment.</w:t>
      </w:r>
    </w:p>
    <w:p w14:paraId="3C6CD86F" w14:textId="77777777" w:rsidR="00CD5946" w:rsidRDefault="00000000">
      <w:pPr>
        <w:bidi/>
        <w:spacing w:after="150" w:line="300" w:lineRule="auto"/>
        <w:ind w:right="300" w:hanging="300"/>
        <w:jc w:val="right"/>
      </w:pPr>
      <w:r>
        <w:rPr>
          <w:rFonts w:ascii="Arial" w:eastAsia="Arial" w:hAnsi="Arial"/>
          <w:color w:val="333333"/>
          <w:sz w:val="20"/>
          <w:szCs w:val="20"/>
          <w:rtl/>
        </w:rPr>
        <w:t>الإشراف البشري وقابلية التفسير: يحتفظ شخص مؤهّل بسلطة القرار، ويكون أساس المخرجات قابلاً للتفسير بالقدر اللازم.</w:t>
      </w:r>
      <w:r>
        <w:rPr>
          <w:rFonts w:ascii="Arial" w:eastAsia="Arial" w:hAnsi="Arial"/>
          <w:b/>
          <w:bCs/>
          <w:color w:val="15512F"/>
          <w:sz w:val="20"/>
          <w:szCs w:val="20"/>
          <w:rtl/>
        </w:rPr>
        <w:t xml:space="preserve">  </w:t>
      </w:r>
      <w:r>
        <w:rPr>
          <w:rFonts w:ascii="Arial" w:eastAsia="Arial" w:hAnsi="Arial"/>
          <w:b/>
          <w:bCs/>
          <w:color w:val="15512F"/>
          <w:sz w:val="20"/>
          <w:szCs w:val="20"/>
        </w:rPr>
        <w:t>A-AI.5</w:t>
      </w:r>
    </w:p>
    <w:p w14:paraId="36B7F630" w14:textId="77777777" w:rsidR="00CD5946" w:rsidRDefault="00000000">
      <w:pPr>
        <w:spacing w:after="40" w:line="266" w:lineRule="auto"/>
        <w:ind w:left="300" w:hanging="300"/>
      </w:pPr>
      <w:r>
        <w:rPr>
          <w:rFonts w:ascii="Arial" w:eastAsia="Arial" w:hAnsi="Arial"/>
          <w:b/>
          <w:bCs/>
          <w:color w:val="15512F"/>
        </w:rPr>
        <w:t xml:space="preserve">A-AI.6  </w:t>
      </w:r>
      <w:r>
        <w:rPr>
          <w:rFonts w:ascii="Arial" w:eastAsia="Arial" w:hAnsi="Arial"/>
          <w:color w:val="333333"/>
        </w:rPr>
        <w:t>Lifecycle monitoring. Performance shall be monitored in use, with defined limits, drift detection, periodic review and a fallback procedure should performance degrade or the system be unavailable.</w:t>
      </w:r>
    </w:p>
    <w:p w14:paraId="4A6C5D70" w14:textId="77777777" w:rsidR="00CD5946" w:rsidRDefault="00000000">
      <w:pPr>
        <w:bidi/>
        <w:spacing w:after="150" w:line="300" w:lineRule="auto"/>
        <w:ind w:right="300" w:hanging="300"/>
        <w:jc w:val="right"/>
      </w:pPr>
      <w:r>
        <w:rPr>
          <w:rFonts w:ascii="Arial" w:eastAsia="Arial" w:hAnsi="Arial"/>
          <w:color w:val="333333"/>
          <w:sz w:val="20"/>
          <w:szCs w:val="20"/>
          <w:rtl/>
        </w:rPr>
        <w:t>مراقبة دورة الحياة: يُراقب الأداء بحدود محدّدة وكشف للانزياح ومراجعة دورية وإجراء احتياطي.</w:t>
      </w:r>
      <w:r>
        <w:rPr>
          <w:rFonts w:ascii="Arial" w:eastAsia="Arial" w:hAnsi="Arial"/>
          <w:b/>
          <w:bCs/>
          <w:color w:val="15512F"/>
          <w:sz w:val="20"/>
          <w:szCs w:val="20"/>
          <w:rtl/>
        </w:rPr>
        <w:t xml:space="preserve">  </w:t>
      </w:r>
      <w:r>
        <w:rPr>
          <w:rFonts w:ascii="Arial" w:eastAsia="Arial" w:hAnsi="Arial"/>
          <w:b/>
          <w:bCs/>
          <w:color w:val="15512F"/>
          <w:sz w:val="20"/>
          <w:szCs w:val="20"/>
        </w:rPr>
        <w:t>A-AI.6</w:t>
      </w:r>
    </w:p>
    <w:p w14:paraId="3A496EE6" w14:textId="77777777" w:rsidR="00CD5946" w:rsidRDefault="00000000">
      <w:pPr>
        <w:spacing w:after="40" w:line="266" w:lineRule="auto"/>
        <w:ind w:left="300" w:hanging="300"/>
      </w:pPr>
      <w:r>
        <w:rPr>
          <w:rFonts w:ascii="Arial" w:eastAsia="Arial" w:hAnsi="Arial"/>
          <w:b/>
          <w:bCs/>
          <w:color w:val="15512F"/>
        </w:rPr>
        <w:lastRenderedPageBreak/>
        <w:t xml:space="preserve">A-AI.7  </w:t>
      </w:r>
      <w:r>
        <w:rPr>
          <w:rFonts w:ascii="Arial" w:eastAsia="Arial" w:hAnsi="Arial"/>
          <w:color w:val="333333"/>
        </w:rPr>
        <w:t>Suppliers and transparency. Where models are supplied or hosted by third parties, supplier assurance, the technical/quality agreement and access to the information needed for validation and inspection shall be ensured.</w:t>
      </w:r>
    </w:p>
    <w:p w14:paraId="2E3045E6" w14:textId="77777777" w:rsidR="00CD5946" w:rsidRDefault="00000000">
      <w:pPr>
        <w:bidi/>
        <w:spacing w:after="150" w:line="300" w:lineRule="auto"/>
        <w:ind w:right="300" w:hanging="300"/>
        <w:jc w:val="right"/>
      </w:pPr>
      <w:r>
        <w:rPr>
          <w:rFonts w:ascii="Arial" w:eastAsia="Arial" w:hAnsi="Arial"/>
          <w:color w:val="333333"/>
          <w:sz w:val="20"/>
          <w:szCs w:val="20"/>
          <w:rtl/>
        </w:rPr>
        <w:t>المورّدون والشفافية: عند التوريد أو الاستضافة لدى الغير، يُضمن تقييم المورّد والاتفاق الفني والوصول إلى المعلومات اللازمة للتحقّق والتفتيش.</w:t>
      </w:r>
      <w:r>
        <w:rPr>
          <w:rFonts w:ascii="Arial" w:eastAsia="Arial" w:hAnsi="Arial"/>
          <w:b/>
          <w:bCs/>
          <w:color w:val="15512F"/>
          <w:sz w:val="20"/>
          <w:szCs w:val="20"/>
          <w:rtl/>
        </w:rPr>
        <w:t xml:space="preserve">  </w:t>
      </w:r>
      <w:r>
        <w:rPr>
          <w:rFonts w:ascii="Arial" w:eastAsia="Arial" w:hAnsi="Arial"/>
          <w:b/>
          <w:bCs/>
          <w:color w:val="15512F"/>
          <w:sz w:val="20"/>
          <w:szCs w:val="20"/>
        </w:rPr>
        <w:t>A-AI.7</w:t>
      </w:r>
    </w:p>
    <w:p>
      <w:pPr>
        <w:spacing w:after="40" w:line="266" w:lineRule="auto"/>
        <w:ind w:left="300" w:hanging="300"/>
      </w:pPr>
      <w:r>
        <w:rPr>
          <w:rFonts w:ascii="Arial" w:eastAsia="Arial" w:hAnsi="Arial"/>
          <w:b/>
          <w:bCs/>
          <w:color w:val="15512F"/>
        </w:rPr>
        <w:t xml:space="preserve">A-AI.8  Generative AI and large language models. Generative AI/LLM systems shall not be used in critical GMP applications — taking, or directly informing, decisions that affect product quality, patient safety or data integrity. For non-critical uses, outputs shall undergo defined human-in-the-loop review before any GMP use, and the tool, its version and its use shall be documented (aligned with the direction of draft EU/PIC-S Annex 22).</w:t>
      </w:r>
    </w:p>
    <w:p>
      <w:pPr>
        <w:bidi/>
        <w:spacing w:after="150" w:line="300" w:lineRule="auto"/>
        <w:ind w:right="300" w:hanging="300"/>
        <w:jc w:val="right"/>
      </w:pPr>
      <w:r>
        <w:rPr>
          <w:rFonts w:ascii="Arial" w:eastAsia="Arial" w:hAnsi="Arial"/>
          <w:color w:val="333333"/>
          <w:sz w:val="20"/>
          <w:szCs w:val="20"/>
          <w:rtl/>
        </w:rPr>
        <w:t xml:space="preserve">A-AI.8  الذكاء الاصطناعي التوليدي والنماذج اللغوية الكبيرة: لا تُستخدم النظم التوليدية في التطبيقات الحرجة، أي في اتّخاذ قرارات تمسّ جودة المنتج أو سلامة المريض أو سلامة البيانات أو توجيهها مباشرة. وفي الاستخدامات غير الحرجة تخضع المخرجات لمراجعة بشرية محدّدة قبل أي استخدام، وتُوثَّق الأداة وإصدارها وأوجه استخدامها.</w:t>
      </w:r>
    </w:p>
    <w:p w14:paraId="0CF641F4" w14:textId="77777777" w:rsidR="00CD5946" w:rsidRDefault="00000000">
      <w:pPr>
        <w:pStyle w:val="Heading1"/>
      </w:pPr>
      <w:bookmarkStart w:id="300" w:name="__RefHeading___Toc28283_1371984443"/>
      <w:bookmarkEnd w:id="300"/>
      <w:r>
        <w:t xml:space="preserve">Reliance &amp; Mutual-Recognition Framework  ·  </w:t>
      </w:r>
      <w:r>
        <w:rPr>
          <w:rtl/>
        </w:rPr>
        <w:t>إطار الاعتماد والاعتراف المتبادل</w:t>
      </w:r>
    </w:p>
    <w:p w14:paraId="5E4CE65C" w14:textId="77777777" w:rsidR="00CD5946" w:rsidRDefault="00000000">
      <w:pPr>
        <w:pStyle w:val="Heading2"/>
        <w:spacing w:before="220" w:after="100"/>
      </w:pPr>
      <w:bookmarkStart w:id="301" w:name="__RefHeading___Toc28285_1371984443"/>
      <w:bookmarkEnd w:id="301"/>
      <w:r>
        <w:rPr>
          <w:sz w:val="25"/>
          <w:szCs w:val="25"/>
        </w:rPr>
        <w:t xml:space="preserve">Principle  ·  </w:t>
      </w:r>
      <w:r>
        <w:rPr>
          <w:sz w:val="25"/>
          <w:szCs w:val="25"/>
          <w:rtl/>
        </w:rPr>
        <w:t>المبدأ</w:t>
      </w:r>
    </w:p>
    <w:p w14:paraId="472E4484" w14:textId="77777777" w:rsidR="00CD5946" w:rsidRDefault="00000000">
      <w:pPr>
        <w:spacing w:after="40" w:line="266" w:lineRule="auto"/>
        <w:ind w:left="300" w:hanging="300"/>
      </w:pPr>
      <w:r>
        <w:rPr>
          <w:rFonts w:ascii="Arial" w:eastAsia="Arial" w:hAnsi="Arial"/>
          <w:b/>
          <w:bCs/>
          <w:color w:val="15512F"/>
        </w:rPr>
        <w:t xml:space="preserve">R.0  </w:t>
      </w:r>
      <w:r>
        <w:rPr>
          <w:rFonts w:ascii="Arial" w:eastAsia="Arial" w:hAnsi="Arial"/>
          <w:color w:val="333333"/>
        </w:rPr>
        <w:t>An adopting authority should make the fullest appropriate use of reliance — building on the assessments, inspections and decisions of other trusted authorities — to avoid unnecessary duplication, focus resources on value-adding scrutiny and accelerate access to quality-assured medicines, consistent with WHO Good Reliance Practices. Reliance does not transfer responsibility: the relying authority remains accountable for its decision.</w:t>
      </w:r>
    </w:p>
    <w:p w14:paraId="550767C6" w14:textId="77777777" w:rsidR="00CD5946" w:rsidRDefault="00000000">
      <w:pPr>
        <w:bidi/>
        <w:spacing w:after="150" w:line="300" w:lineRule="auto"/>
        <w:ind w:right="300" w:hanging="300"/>
        <w:jc w:val="right"/>
      </w:pPr>
      <w:r>
        <w:rPr>
          <w:rFonts w:ascii="Arial" w:eastAsia="Arial" w:hAnsi="Arial"/>
          <w:color w:val="333333"/>
          <w:sz w:val="20"/>
          <w:szCs w:val="20"/>
          <w:rtl/>
        </w:rPr>
        <w:t>ينبغي للجهة المتبنّية أن تُحسن استخدام الاعتماد إلى أقصى حدّ مناسب استناداً إلى تقييمات وتفتيشات الجهات الموثوقة، وفق ممارسات الاعتماد الجيدة لمنظمة الصحة العالمية؛ والاعتماد لا ينقل المسؤولية.</w:t>
      </w:r>
      <w:r>
        <w:rPr>
          <w:rFonts w:ascii="Arial" w:eastAsia="Arial" w:hAnsi="Arial"/>
          <w:b/>
          <w:bCs/>
          <w:color w:val="15512F"/>
          <w:sz w:val="20"/>
          <w:szCs w:val="20"/>
          <w:rtl/>
        </w:rPr>
        <w:t xml:space="preserve">  </w:t>
      </w:r>
      <w:r>
        <w:rPr>
          <w:rFonts w:ascii="Arial" w:eastAsia="Arial" w:hAnsi="Arial"/>
          <w:b/>
          <w:bCs/>
          <w:color w:val="15512F"/>
          <w:sz w:val="20"/>
          <w:szCs w:val="20"/>
        </w:rPr>
        <w:t>R.0</w:t>
      </w:r>
    </w:p>
    <w:p w14:paraId="1824FF62" w14:textId="77777777" w:rsidR="00CD5946" w:rsidRDefault="00000000">
      <w:pPr>
        <w:pStyle w:val="Heading2"/>
        <w:spacing w:before="220" w:after="100"/>
      </w:pPr>
      <w:bookmarkStart w:id="302" w:name="__RefHeading___Toc28287_1371984443"/>
      <w:bookmarkEnd w:id="302"/>
      <w:r>
        <w:rPr>
          <w:sz w:val="25"/>
          <w:szCs w:val="25"/>
        </w:rPr>
        <w:t xml:space="preserve">Elements  ·  </w:t>
      </w:r>
      <w:r>
        <w:rPr>
          <w:sz w:val="25"/>
          <w:szCs w:val="25"/>
          <w:rtl/>
        </w:rPr>
        <w:t>العناصر</w:t>
      </w:r>
    </w:p>
    <w:p w14:paraId="5E660E05" w14:textId="77777777" w:rsidR="00CD5946" w:rsidRDefault="00000000">
      <w:pPr>
        <w:spacing w:after="40" w:line="266" w:lineRule="auto"/>
        <w:ind w:left="300" w:hanging="300"/>
      </w:pPr>
      <w:r>
        <w:rPr>
          <w:rFonts w:ascii="Arial" w:eastAsia="Arial" w:hAnsi="Arial"/>
          <w:b/>
          <w:bCs/>
          <w:color w:val="15512F"/>
        </w:rPr>
        <w:t xml:space="preserve">R.1  </w:t>
      </w:r>
      <w:r>
        <w:rPr>
          <w:rFonts w:ascii="Arial" w:eastAsia="Arial" w:hAnsi="Arial"/>
          <w:color w:val="333333"/>
        </w:rPr>
        <w:t>Foundations: WHO Good Reliance Practices; the WHO-Listed Authority (WLA) concept; PIC/S membership as the basis for inspection confidence.</w:t>
      </w:r>
    </w:p>
    <w:p w14:paraId="0C34B13B"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الأسس: ممارسات الاعتماد الجيدة ومفهوم السلطة المُدرجة وعضوية </w:t>
      </w:r>
      <w:r>
        <w:rPr>
          <w:rFonts w:ascii="Arial" w:eastAsia="Arial" w:hAnsi="Arial"/>
          <w:color w:val="333333"/>
          <w:sz w:val="20"/>
          <w:szCs w:val="20"/>
        </w:rPr>
        <w:t>PIC/S</w:t>
      </w:r>
      <w:r>
        <w:rPr>
          <w:rFonts w:ascii="Arial" w:eastAsia="Arial" w:hAnsi="Arial"/>
          <w:color w:val="333333"/>
          <w:sz w:val="20"/>
          <w:szCs w:val="20"/>
          <w:rtl/>
        </w:rPr>
        <w:t xml:space="preserve"> أساساً للثقة.</w:t>
      </w:r>
      <w:r>
        <w:rPr>
          <w:rFonts w:ascii="Arial" w:eastAsia="Arial" w:hAnsi="Arial"/>
          <w:b/>
          <w:bCs/>
          <w:color w:val="15512F"/>
          <w:sz w:val="20"/>
          <w:szCs w:val="20"/>
          <w:rtl/>
        </w:rPr>
        <w:t xml:space="preserve">  </w:t>
      </w:r>
      <w:r>
        <w:rPr>
          <w:rFonts w:ascii="Arial" w:eastAsia="Arial" w:hAnsi="Arial"/>
          <w:b/>
          <w:bCs/>
          <w:color w:val="15512F"/>
          <w:sz w:val="20"/>
          <w:szCs w:val="20"/>
        </w:rPr>
        <w:t>R.1</w:t>
      </w:r>
    </w:p>
    <w:p w14:paraId="5C7FEEFC" w14:textId="77777777" w:rsidR="00CD5946" w:rsidRDefault="00000000">
      <w:pPr>
        <w:spacing w:after="40" w:line="266" w:lineRule="auto"/>
        <w:ind w:left="300" w:hanging="300"/>
      </w:pPr>
      <w:r>
        <w:rPr>
          <w:rFonts w:ascii="Arial" w:eastAsia="Arial" w:hAnsi="Arial"/>
          <w:b/>
          <w:bCs/>
          <w:color w:val="15512F"/>
        </w:rPr>
        <w:t xml:space="preserve">R.2  </w:t>
      </w:r>
      <w:r>
        <w:rPr>
          <w:rFonts w:ascii="Arial" w:eastAsia="Arial" w:hAnsi="Arial"/>
          <w:color w:val="333333"/>
        </w:rPr>
        <w:t>GMP-certificate reliance: acceptance of a valid GMP certificate from a trusted authority in lieu of, or to prioritise, on-site inspection.</w:t>
      </w:r>
    </w:p>
    <w:p w14:paraId="33002F7C" w14:textId="77777777" w:rsidR="00CD5946" w:rsidRDefault="00000000">
      <w:pPr>
        <w:bidi/>
        <w:spacing w:after="150" w:line="300" w:lineRule="auto"/>
        <w:ind w:right="300" w:hanging="300"/>
        <w:jc w:val="right"/>
      </w:pPr>
      <w:r>
        <w:rPr>
          <w:rFonts w:ascii="Arial" w:eastAsia="Arial" w:hAnsi="Arial"/>
          <w:color w:val="333333"/>
          <w:sz w:val="20"/>
          <w:szCs w:val="20"/>
          <w:rtl/>
        </w:rPr>
        <w:t>الاعتماد على شهادة الممارسات الجيدة بدلاً من التفتيش الموقعي أو لتحديد أولويته.</w:t>
      </w:r>
      <w:r>
        <w:rPr>
          <w:rFonts w:ascii="Arial" w:eastAsia="Arial" w:hAnsi="Arial"/>
          <w:b/>
          <w:bCs/>
          <w:color w:val="15512F"/>
          <w:sz w:val="20"/>
          <w:szCs w:val="20"/>
          <w:rtl/>
        </w:rPr>
        <w:t xml:space="preserve">  </w:t>
      </w:r>
      <w:r>
        <w:rPr>
          <w:rFonts w:ascii="Arial" w:eastAsia="Arial" w:hAnsi="Arial"/>
          <w:b/>
          <w:bCs/>
          <w:color w:val="15512F"/>
          <w:sz w:val="20"/>
          <w:szCs w:val="20"/>
        </w:rPr>
        <w:t>R.2</w:t>
      </w:r>
    </w:p>
    <w:p w14:paraId="292A7E24" w14:textId="77777777" w:rsidR="00CD5946" w:rsidRDefault="00000000">
      <w:pPr>
        <w:spacing w:after="40" w:line="266" w:lineRule="auto"/>
        <w:ind w:left="300" w:hanging="300"/>
      </w:pPr>
      <w:r>
        <w:rPr>
          <w:rFonts w:ascii="Arial" w:eastAsia="Arial" w:hAnsi="Arial"/>
          <w:b/>
          <w:bCs/>
          <w:color w:val="15512F"/>
        </w:rPr>
        <w:t xml:space="preserve">R.3  </w:t>
      </w:r>
      <w:r>
        <w:rPr>
          <w:rFonts w:ascii="Arial" w:eastAsia="Arial" w:hAnsi="Arial"/>
          <w:color w:val="333333"/>
        </w:rPr>
        <w:t>Batch-certification reliance: recognition of QP/Authorised-Person batch certification (Annex 16) to avoid re-testing on importation (Annex 21).</w:t>
      </w:r>
    </w:p>
    <w:p w14:paraId="5E35F99A" w14:textId="77777777" w:rsidR="00CD5946" w:rsidRDefault="00000000">
      <w:pPr>
        <w:bidi/>
        <w:spacing w:after="150" w:line="300" w:lineRule="auto"/>
        <w:ind w:right="300" w:hanging="300"/>
        <w:jc w:val="right"/>
      </w:pPr>
      <w:r>
        <w:rPr>
          <w:rFonts w:ascii="Arial" w:eastAsia="Arial" w:hAnsi="Arial"/>
          <w:color w:val="333333"/>
          <w:sz w:val="20"/>
          <w:szCs w:val="20"/>
          <w:rtl/>
        </w:rPr>
        <w:t xml:space="preserve">الاعتماد على اعتماد الدفعة (الملحق </w:t>
      </w:r>
      <w:r>
        <w:rPr>
          <w:rFonts w:ascii="Arial" w:eastAsia="Arial" w:hAnsi="Arial"/>
          <w:color w:val="333333"/>
          <w:sz w:val="20"/>
          <w:szCs w:val="20"/>
        </w:rPr>
        <w:t>16</w:t>
      </w:r>
      <w:r>
        <w:rPr>
          <w:rFonts w:ascii="Arial" w:eastAsia="Arial" w:hAnsi="Arial"/>
          <w:color w:val="333333"/>
          <w:sz w:val="20"/>
          <w:szCs w:val="20"/>
          <w:rtl/>
        </w:rPr>
        <w:t xml:space="preserve">) لتفادي إعادة الفحص عند الاستيراد (الملحق </w:t>
      </w:r>
      <w:r>
        <w:rPr>
          <w:rFonts w:ascii="Arial" w:eastAsia="Arial" w:hAnsi="Arial"/>
          <w:color w:val="333333"/>
          <w:sz w:val="20"/>
          <w:szCs w:val="20"/>
        </w:rPr>
        <w:t>21</w:t>
      </w:r>
      <w:r>
        <w:rPr>
          <w:rFonts w:ascii="Arial" w:eastAsia="Arial" w:hAnsi="Arial"/>
          <w:color w:val="333333"/>
          <w:sz w:val="20"/>
          <w:szCs w:val="20"/>
          <w:rtl/>
        </w:rPr>
        <w:t>).</w:t>
      </w:r>
      <w:r>
        <w:rPr>
          <w:rFonts w:ascii="Arial" w:eastAsia="Arial" w:hAnsi="Arial"/>
          <w:b/>
          <w:bCs/>
          <w:color w:val="15512F"/>
          <w:sz w:val="20"/>
          <w:szCs w:val="20"/>
          <w:rtl/>
        </w:rPr>
        <w:t xml:space="preserve">  </w:t>
      </w:r>
      <w:r>
        <w:rPr>
          <w:rFonts w:ascii="Arial" w:eastAsia="Arial" w:hAnsi="Arial"/>
          <w:b/>
          <w:bCs/>
          <w:color w:val="15512F"/>
          <w:sz w:val="20"/>
          <w:szCs w:val="20"/>
        </w:rPr>
        <w:t>R.3</w:t>
      </w:r>
    </w:p>
    <w:p w14:paraId="57B57092" w14:textId="77777777" w:rsidR="00CD5946" w:rsidRDefault="00000000">
      <w:pPr>
        <w:spacing w:after="40" w:line="266" w:lineRule="auto"/>
        <w:ind w:left="300" w:hanging="300"/>
      </w:pPr>
      <w:r>
        <w:rPr>
          <w:rFonts w:ascii="Arial" w:eastAsia="Arial" w:hAnsi="Arial"/>
          <w:b/>
          <w:bCs/>
          <w:color w:val="15512F"/>
        </w:rPr>
        <w:t xml:space="preserve">R.4  </w:t>
      </w:r>
      <w:r>
        <w:rPr>
          <w:rFonts w:ascii="Arial" w:eastAsia="Arial" w:hAnsi="Arial"/>
          <w:color w:val="333333"/>
        </w:rPr>
        <w:t>Work-sharing and joint inspections: shared inspection planning, joint inspections and exchange of inspection reports among Arab NMRAs.</w:t>
      </w:r>
    </w:p>
    <w:p w14:paraId="66AC72E5" w14:textId="77777777" w:rsidR="00CD5946" w:rsidRDefault="00000000">
      <w:pPr>
        <w:bidi/>
        <w:spacing w:after="150" w:line="300" w:lineRule="auto"/>
        <w:ind w:right="300" w:hanging="300"/>
        <w:jc w:val="right"/>
      </w:pPr>
      <w:r>
        <w:rPr>
          <w:rFonts w:ascii="Arial" w:eastAsia="Arial" w:hAnsi="Arial"/>
          <w:color w:val="333333"/>
          <w:sz w:val="20"/>
          <w:szCs w:val="20"/>
          <w:rtl/>
        </w:rPr>
        <w:t>تقاسم العمل والتفتيشات المشتركة بين الهيئات العربية.</w:t>
      </w:r>
      <w:r>
        <w:rPr>
          <w:rFonts w:ascii="Arial" w:eastAsia="Arial" w:hAnsi="Arial"/>
          <w:b/>
          <w:bCs/>
          <w:color w:val="15512F"/>
          <w:sz w:val="20"/>
          <w:szCs w:val="20"/>
          <w:rtl/>
        </w:rPr>
        <w:t xml:space="preserve">  </w:t>
      </w:r>
      <w:r>
        <w:rPr>
          <w:rFonts w:ascii="Arial" w:eastAsia="Arial" w:hAnsi="Arial"/>
          <w:b/>
          <w:bCs/>
          <w:color w:val="15512F"/>
          <w:sz w:val="20"/>
          <w:szCs w:val="20"/>
        </w:rPr>
        <w:t>R.4</w:t>
      </w:r>
    </w:p>
    <w:p w14:paraId="00C09D94" w14:textId="77777777" w:rsidR="00CD5946" w:rsidRDefault="00000000">
      <w:pPr>
        <w:spacing w:after="40" w:line="266" w:lineRule="auto"/>
        <w:ind w:left="300" w:hanging="300"/>
      </w:pPr>
      <w:r>
        <w:rPr>
          <w:rFonts w:ascii="Arial" w:eastAsia="Arial" w:hAnsi="Arial"/>
          <w:b/>
          <w:bCs/>
          <w:color w:val="15512F"/>
        </w:rPr>
        <w:t xml:space="preserve">R.5  </w:t>
      </w:r>
      <w:r>
        <w:rPr>
          <w:rFonts w:ascii="Arial" w:eastAsia="Arial" w:hAnsi="Arial"/>
          <w:color w:val="333333"/>
        </w:rPr>
        <w:t>Conditions and limits: defined criteria for when reliance is appropriate, the documentation required, confidentiality arrangements and the residual scrutiny performed. Objective qualification criteria for a trusted authority include WHO-Listed Authority (WLA) status, PIC/S membership and mutual-recognition agreements.</w:t>
      </w:r>
    </w:p>
    <w:p w14:paraId="7869D6D5" w14:textId="77777777" w:rsidR="00CD5946" w:rsidRDefault="00000000">
      <w:pPr>
        <w:bidi/>
        <w:spacing w:after="150" w:line="300" w:lineRule="auto"/>
        <w:ind w:right="300" w:hanging="300"/>
        <w:jc w:val="right"/>
      </w:pPr>
      <w:r>
        <w:rPr>
          <w:rFonts w:ascii="Arial" w:eastAsia="Arial" w:hAnsi="Arial"/>
          <w:color w:val="333333"/>
          <w:sz w:val="20"/>
          <w:szCs w:val="20"/>
          <w:rtl/>
        </w:rPr>
        <w:t>الشروط والحدود ومتطلّبات التوثيق والسرّية والتدقيق المتبقّي.</w:t>
      </w:r>
      <w:r>
        <w:rPr>
          <w:rFonts w:ascii="Arial" w:eastAsia="Arial" w:hAnsi="Arial"/>
          <w:b/>
          <w:bCs/>
          <w:color w:val="15512F"/>
          <w:sz w:val="20"/>
          <w:szCs w:val="20"/>
          <w:rtl/>
        </w:rPr>
        <w:t xml:space="preserve">  </w:t>
      </w:r>
      <w:r>
        <w:rPr>
          <w:rFonts w:ascii="Arial" w:eastAsia="Arial" w:hAnsi="Arial"/>
          <w:b/>
          <w:bCs/>
          <w:color w:val="15512F"/>
          <w:sz w:val="20"/>
          <w:szCs w:val="20"/>
        </w:rPr>
        <w:t>R.5</w:t>
      </w:r>
    </w:p>
    <w:p w14:paraId="0F639FB2" w14:textId="77777777" w:rsidR="00CD5946" w:rsidRDefault="00000000">
      <w:pPr>
        <w:spacing w:after="40" w:line="266" w:lineRule="auto"/>
        <w:ind w:left="300" w:hanging="300"/>
      </w:pPr>
      <w:r>
        <w:rPr>
          <w:rFonts w:ascii="Arial" w:eastAsia="Arial" w:hAnsi="Arial"/>
          <w:b/>
          <w:bCs/>
          <w:color w:val="15512F"/>
        </w:rPr>
        <w:t xml:space="preserve">R.6  </w:t>
      </w:r>
      <w:r>
        <w:rPr>
          <w:rFonts w:ascii="Arial" w:eastAsia="Arial" w:hAnsi="Arial"/>
          <w:color w:val="333333"/>
        </w:rPr>
        <w:t>Transparency: a published list of recognised authorities and a register of reliance decisions.</w:t>
      </w:r>
    </w:p>
    <w:p w14:paraId="7BF2277B" w14:textId="77777777" w:rsidR="00CD5946" w:rsidRDefault="00000000">
      <w:pPr>
        <w:bidi/>
        <w:spacing w:after="150" w:line="300" w:lineRule="auto"/>
        <w:ind w:right="300" w:hanging="300"/>
        <w:jc w:val="right"/>
      </w:pPr>
      <w:r>
        <w:rPr>
          <w:rFonts w:ascii="Arial" w:eastAsia="Arial" w:hAnsi="Arial"/>
          <w:color w:val="333333"/>
          <w:sz w:val="20"/>
          <w:szCs w:val="20"/>
          <w:rtl/>
        </w:rPr>
        <w:t>الشفافية: قائمة منشورة بالجهات المعترف بها وسجلّ لقرارات الاعتماد.</w:t>
      </w:r>
      <w:r>
        <w:rPr>
          <w:rFonts w:ascii="Arial" w:eastAsia="Arial" w:hAnsi="Arial"/>
          <w:b/>
          <w:bCs/>
          <w:color w:val="15512F"/>
          <w:sz w:val="20"/>
          <w:szCs w:val="20"/>
          <w:rtl/>
        </w:rPr>
        <w:t xml:space="preserve">  </w:t>
      </w:r>
      <w:r>
        <w:rPr>
          <w:rFonts w:ascii="Arial" w:eastAsia="Arial" w:hAnsi="Arial"/>
          <w:b/>
          <w:bCs/>
          <w:color w:val="15512F"/>
          <w:sz w:val="20"/>
          <w:szCs w:val="20"/>
        </w:rPr>
        <w:t>R.6</w:t>
      </w:r>
    </w:p>
    <w:p w14:paraId="13E1A641" w14:textId="77777777" w:rsidR="00CD5946" w:rsidRDefault="00000000">
      <w:pPr>
        <w:spacing w:after="40" w:line="266" w:lineRule="auto"/>
        <w:ind w:left="300" w:hanging="300"/>
      </w:pPr>
      <w:r>
        <w:rPr>
          <w:rFonts w:ascii="Arial" w:eastAsia="Arial" w:hAnsi="Arial"/>
          <w:b/>
          <w:bCs/>
          <w:color w:val="15512F"/>
        </w:rPr>
        <w:t xml:space="preserve">R.7  </w:t>
      </w:r>
      <w:r>
        <w:rPr>
          <w:rFonts w:ascii="Arial" w:eastAsia="Arial" w:hAnsi="Arial"/>
          <w:color w:val="333333"/>
        </w:rPr>
        <w:t>Conflict handling:  a divergence between the national requirements of two adopting authorities (for example storage conditions, shelf-life or testing) is reconciled by certifying to the authorisation in force in the destination market and recording the destination-specific condition; it does not void mutual reliance (see III.4.2).</w:t>
      </w:r>
    </w:p>
    <w:p w14:paraId="52B3B5CC" w14:textId="77777777" w:rsidR="00CD5946" w:rsidRDefault="00000000">
      <w:pPr>
        <w:bidi/>
        <w:spacing w:after="150" w:line="300" w:lineRule="auto"/>
        <w:ind w:right="300" w:hanging="300"/>
        <w:jc w:val="right"/>
      </w:pPr>
      <w:r>
        <w:rPr>
          <w:rFonts w:ascii="Arial" w:eastAsia="Arial" w:hAnsi="Arial"/>
          <w:color w:val="333333"/>
          <w:sz w:val="20"/>
          <w:szCs w:val="20"/>
          <w:rtl/>
        </w:rPr>
        <w:t>معالجة التعارض: يُسوّى أيّ تباين بين المتطلّبات الوطنية لجهتين متبنّيتين (مثل ظروف التخزين أو مدّة الصلاحية أو الاختبار) بالاعتماد وفق الإذن الساري في سوق الوجهة وتدوين الشرط الخاص بالوجهة؛ ولا يُلغي ذلك الاعتماد المتبادل (انظر III.4.2).</w:t>
      </w:r>
      <w:r>
        <w:rPr>
          <w:rFonts w:ascii="Arial" w:eastAsia="Arial" w:hAnsi="Arial"/>
          <w:b/>
          <w:bCs/>
          <w:color w:val="15512F"/>
          <w:sz w:val="20"/>
          <w:szCs w:val="20"/>
          <w:rtl/>
        </w:rPr>
        <w:t xml:space="preserve">  </w:t>
      </w:r>
      <w:r>
        <w:rPr>
          <w:rFonts w:ascii="Arial" w:eastAsia="Arial" w:hAnsi="Arial"/>
          <w:b/>
          <w:bCs/>
          <w:color w:val="15512F"/>
          <w:sz w:val="20"/>
          <w:szCs w:val="20"/>
        </w:rPr>
        <w:t>R.7</w:t>
      </w:r>
    </w:p>
    <w:p w14:paraId="53523710" w14:textId="77777777" w:rsidR="00CD5946" w:rsidRDefault="00000000">
      <w:pPr>
        <w:spacing w:before="160" w:after="80" w:line="266" w:lineRule="auto"/>
      </w:pPr>
      <w:r>
        <w:rPr>
          <w:rFonts w:ascii="Arial" w:eastAsia="Arial" w:hAnsi="Arial"/>
          <w:i/>
          <w:iCs/>
          <w:color w:val="666666"/>
        </w:rPr>
        <w:lastRenderedPageBreak/>
        <w:t>End of Part IV. This Part forms part of the 2026 Edition (Draft for Public Consultation).</w:t>
      </w:r>
    </w:p>
    <w:p w14:paraId="1417467E" w14:textId="77777777" w:rsidR="00CD5946" w:rsidRDefault="00000000">
      <w:pPr>
        <w:pStyle w:val="Heading1"/>
        <w:spacing w:before="0" w:after="160"/>
      </w:pPr>
      <w:r>
        <w:rPr>
          <w:rFonts w:ascii="Calibri" w:eastAsia="Calibri" w:hAnsi="Calibri"/>
          <w:color w:val="0E5A50"/>
        </w:rPr>
        <w:t xml:space="preserve">Publication &amp; Copyright Notice · </w:t>
      </w:r>
      <w:r>
        <w:rPr>
          <w:rFonts w:ascii="Calibri" w:eastAsia="Calibri" w:hAnsi="Calibri"/>
          <w:color w:val="0E5A50"/>
          <w:rtl/>
        </w:rPr>
        <w:t>إشعار النشر وحقوق المؤلف</w:t>
      </w:r>
    </w:p>
    <w:p w14:paraId="5BF815E8" w14:textId="77777777" w:rsidR="00CD5946" w:rsidRDefault="00000000">
      <w:pPr>
        <w:pBdr>
          <w:top w:val="single" w:sz="14" w:space="8" w:color="9A2A2A"/>
          <w:left w:val="single" w:sz="14" w:space="8" w:color="9A2A2A"/>
          <w:bottom w:val="single" w:sz="14" w:space="8" w:color="9A2A2A"/>
          <w:right w:val="single" w:sz="14" w:space="8" w:color="9A2A2A"/>
        </w:pBdr>
        <w:shd w:val="clear" w:color="auto" w:fill="FBEFEF"/>
        <w:spacing w:after="80" w:line="266" w:lineRule="auto"/>
        <w:ind w:left="144" w:right="144"/>
      </w:pPr>
      <w:r>
        <w:rPr>
          <w:rFonts w:ascii="Arial" w:eastAsia="Arial" w:hAnsi="Arial"/>
          <w:b/>
          <w:bCs/>
          <w:color w:val="9A2A2A"/>
          <w:sz w:val="22"/>
          <w:szCs w:val="22"/>
        </w:rPr>
        <w:t>LEGAL NOTICE — DRAFT FOR PUBLIC CONSULTATION</w:t>
      </w:r>
    </w:p>
    <w:p w14:paraId="576D3FB8" w14:textId="77777777" w:rsidR="00CD5946" w:rsidRDefault="00000000">
      <w:pPr>
        <w:pBdr>
          <w:top w:val="single" w:sz="14" w:space="8" w:color="9A2A2A"/>
          <w:left w:val="single" w:sz="14" w:space="8" w:color="9A2A2A"/>
          <w:bottom w:val="single" w:sz="14" w:space="8" w:color="9A2A2A"/>
          <w:right w:val="single" w:sz="14" w:space="8" w:color="9A2A2A"/>
        </w:pBdr>
        <w:shd w:val="clear" w:color="auto" w:fill="FBEFEF"/>
        <w:spacing w:after="80" w:line="266" w:lineRule="auto"/>
        <w:ind w:left="144" w:right="144"/>
      </w:pPr>
      <w:r>
        <w:rPr>
          <w:rFonts w:ascii="Arial" w:eastAsia="Arial" w:hAnsi="Arial"/>
          <w:sz w:val="20"/>
          <w:szCs w:val="20"/>
        </w:rPr>
        <w:t>This is a Draft for Public Consultation of the Arab GMP Guideline 2026, released by the AUPAM Experts’ Office to invite comment from regulatory authorities, industry, academia and other stakeholders, regionally and internationally. It may be reproduced and circulated freely for the purpose of review and comment, with attribution. It is not a final guideline; its content may change as a result of consultation, and it shall not be cited in dossiers, assessment reports or inspections during the consultation period.</w:t>
      </w:r>
    </w:p>
    <w:p w14:paraId="153258E7" w14:textId="77777777" w:rsidR="00CD5946" w:rsidRDefault="00000000">
      <w:pPr>
        <w:pBdr>
          <w:top w:val="single" w:sz="14" w:space="8" w:color="9A2A2A"/>
          <w:left w:val="single" w:sz="14" w:space="8" w:color="9A2A2A"/>
          <w:bottom w:val="single" w:sz="14" w:space="8" w:color="9A2A2A"/>
          <w:right w:val="single" w:sz="14" w:space="8" w:color="9A2A2A"/>
        </w:pBdr>
        <w:shd w:val="clear" w:color="auto" w:fill="FBEFEF"/>
        <w:bidi/>
        <w:spacing w:after="80" w:line="266" w:lineRule="auto"/>
        <w:ind w:left="144" w:right="144"/>
        <w:jc w:val="right"/>
      </w:pPr>
      <w:r>
        <w:rPr>
          <w:rFonts w:ascii="Arial" w:eastAsia="Arial" w:hAnsi="Arial"/>
          <w:sz w:val="20"/>
          <w:szCs w:val="20"/>
          <w:rtl/>
        </w:rPr>
        <w:t>إشعار قانوني — مسودة للمشاورة العامة. هذه مسودة من الدليل العربي للممارسات التصنيعية الجيدة 2026 يطرحها مكتب خبراء الاتحاد العربي (AUPAM) لاستطلاع آراء الجهات التنظيمية والصناعة والأوساط الأكاديمية وسائر المعنيين، إقليمياً ودولياً. ويجوز نسخها وتعميمها بحرية لغرض المراجعة وإبداء الملاحظات مع الإشارة إلى المصدر. وهي ليست دليلاً نهائياً، وقد يتغيّر محتواها نتيجة المشاورة، ولا يجوز الاستشهاد بها في الملفات أو تقارير التقييم أو عمليات التفتيش خلال فترة المشاورة.</w:t>
      </w:r>
    </w:p>
    <w:p w14:paraId="47894E57" w14:textId="77777777" w:rsidR="00CD5946" w:rsidRDefault="00000000">
      <w:pPr>
        <w:pBdr>
          <w:top w:val="single" w:sz="14" w:space="8" w:color="9A2A2A"/>
          <w:left w:val="single" w:sz="14" w:space="8" w:color="9A2A2A"/>
          <w:bottom w:val="single" w:sz="14" w:space="8" w:color="9A2A2A"/>
          <w:right w:val="single" w:sz="14" w:space="8" w:color="9A2A2A"/>
        </w:pBdr>
        <w:shd w:val="clear" w:color="auto" w:fill="FBEFEF"/>
        <w:spacing w:after="80" w:line="266" w:lineRule="auto"/>
        <w:ind w:left="144" w:right="144"/>
      </w:pPr>
      <w:r>
        <w:rPr>
          <w:rFonts w:ascii="Arial" w:eastAsia="Arial" w:hAnsi="Arial"/>
          <w:b/>
          <w:bCs/>
          <w:sz w:val="20"/>
          <w:szCs w:val="20"/>
        </w:rPr>
        <w:t>Consultation period. This draft is open for public comment from 18 June 2026 to 31 October 2026. Comments should be submitted on the official comment form (Arab-GMP-2026 Comment Form) and returned by email to the AUPAM Experts’ Office, attention of the Chairman. After the consultation closes, comments will be adjudicated by the Arab GMP Working Group and a final edition (Version 1.0) will be prepared for endorsement and adoption.</w:t>
      </w:r>
    </w:p>
    <w:p w14:paraId="798F30D3" w14:textId="77777777" w:rsidR="00CD5946" w:rsidRDefault="00000000">
      <w:pPr>
        <w:pBdr>
          <w:top w:val="single" w:sz="14" w:space="8" w:color="9A2A2A"/>
          <w:left w:val="single" w:sz="14" w:space="8" w:color="9A2A2A"/>
          <w:bottom w:val="single" w:sz="14" w:space="8" w:color="9A2A2A"/>
          <w:right w:val="single" w:sz="14" w:space="8" w:color="9A2A2A"/>
        </w:pBdr>
        <w:shd w:val="clear" w:color="auto" w:fill="FBEFEF"/>
        <w:bidi/>
        <w:spacing w:after="80" w:line="266" w:lineRule="auto"/>
        <w:ind w:left="144" w:right="144"/>
        <w:jc w:val="right"/>
      </w:pPr>
      <w:r>
        <w:rPr>
          <w:rFonts w:ascii="Arial" w:eastAsia="Arial" w:hAnsi="Arial"/>
          <w:b/>
          <w:bCs/>
          <w:sz w:val="20"/>
          <w:szCs w:val="20"/>
          <w:rtl/>
        </w:rPr>
        <w:t>فترة المشاورة. هذه المسودة مفتوحة للتعليق العام من 18 يونيو 2026 حتى 31 أكتوبر 2026. تُقدَّم الملاحظات على نموذج التعليق الرسمي (نموذج تعليقات الدليل العربي 2026) وتُرسَل بالبريد الإلكتروني إلى مكتب خبراء الاتحاد العربي (AUPAM) لعناية رئيس المكتب. وبعد إغلاق المشاورة، تتولّى لجنة العمل للدليل العربي دراسة الملاحظات وإعداد الإصدار النهائي (النسخة 1.0) للاعتماد والتبنّي.</w:t>
      </w:r>
    </w:p>
    <w:p w14:paraId="05510AF6" w14:textId="77777777" w:rsidR="00CD5946" w:rsidRDefault="00000000">
      <w:pPr>
        <w:pBdr>
          <w:top w:val="single" w:sz="14" w:space="8" w:color="9A2A2A"/>
          <w:left w:val="single" w:sz="14" w:space="8" w:color="9A2A2A"/>
          <w:bottom w:val="single" w:sz="14" w:space="8" w:color="9A2A2A"/>
          <w:right w:val="single" w:sz="14" w:space="8" w:color="9A2A2A"/>
        </w:pBdr>
        <w:shd w:val="clear" w:color="auto" w:fill="FBEFEF"/>
        <w:spacing w:after="0" w:line="266" w:lineRule="auto"/>
        <w:ind w:left="144" w:right="144"/>
      </w:pPr>
      <w:r>
        <w:rPr>
          <w:rFonts w:ascii="Arial" w:eastAsia="Arial" w:hAnsi="Arial"/>
          <w:b/>
          <w:bCs/>
          <w:sz w:val="18"/>
          <w:szCs w:val="18"/>
        </w:rPr>
        <w:t xml:space="preserve">© 2026 Assoc. Prof. Dr. rer. nat. Osama Abd Elrahman &amp; the AUPAM Experts’ Office. All rights reserved.  </w:t>
      </w:r>
      <w:r>
        <w:rPr>
          <w:rFonts w:ascii="Arial" w:eastAsia="Arial" w:hAnsi="Arial"/>
          <w:b/>
          <w:bCs/>
          <w:sz w:val="18"/>
          <w:szCs w:val="18"/>
          <w:rtl/>
        </w:rPr>
        <w:t>© 2026 الأستاذ المشارك الدكتور أسامة عبد الرحمن ومكتب خبراء الاتحاد العربي (AUPAM). جميع الحقوق محفوظة.</w:t>
      </w:r>
    </w:p>
    <w:sectPr w:rsidR="00CD5946">
      <w:headerReference w:type="even" r:id="rId9"/>
      <w:headerReference w:type="default" r:id="rId10"/>
      <w:footerReference w:type="even" r:id="rId11"/>
      <w:footerReference w:type="default" r:id="rId12"/>
      <w:headerReference w:type="first" r:id="rId13"/>
      <w:footerReference w:type="first" r:id="rId14"/>
      <w:pgSz w:w="12240" w:h="15840"/>
      <w:pgMar w:top="1320" w:right="1440" w:bottom="1200" w:left="1440"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8E4D8A" w14:textId="77777777" w:rsidR="0067368E" w:rsidRDefault="0067368E">
      <w:pPr>
        <w:spacing w:after="0" w:line="240" w:lineRule="auto"/>
      </w:pPr>
      <w:r>
        <w:separator/>
      </w:r>
    </w:p>
  </w:endnote>
  <w:endnote w:type="continuationSeparator" w:id="0">
    <w:p w14:paraId="598FB901" w14:textId="77777777" w:rsidR="0067368E" w:rsidRDefault="00673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iberation Sans">
    <w:altName w:val="Arial"/>
    <w:panose1 w:val="020B0604020202020204"/>
    <w:charset w:val="01"/>
    <w:family w:val="swiss"/>
    <w:pitch w:val="variable"/>
  </w:font>
  <w:font w:name="DejaVu Sans">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B9CB90" w14:textId="77777777" w:rsidR="00CD5946" w:rsidRDefault="00CD59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A6FDC7" w14:textId="77777777" w:rsidR="00CD5946" w:rsidRDefault="00000000">
    <w:pPr>
      <w:tabs>
        <w:tab w:val="center" w:pos="4680"/>
        <w:tab w:val="right" w:pos="9360"/>
      </w:tabs>
      <w:jc w:val="center"/>
    </w:pPr>
    <w:r>
      <w:rPr>
        <w:rFonts w:ascii="Calibri" w:hAnsi="Calibri"/>
        <w:color w:val="5A6B66"/>
        <w:sz w:val="16"/>
      </w:rPr>
      <w:t>AUPAM Experts’ Office</w:t>
    </w:r>
    <w:r>
      <w:rPr>
        <w:rFonts w:ascii="Calibri" w:hAnsi="Calibri"/>
        <w:color w:val="5A6B66"/>
        <w:sz w:val="16"/>
      </w:rPr>
      <w:tab/>
      <w:t xml:space="preserve">Page </w:t>
    </w:r>
    <w:r>
      <w:rPr>
        <w:rFonts w:ascii="Arial" w:eastAsia="Arial" w:hAnsi="Arial"/>
        <w:i/>
        <w:iCs/>
        <w:color w:val="5A5A5A"/>
        <w:sz w:val="18"/>
        <w:szCs w:val="18"/>
      </w:rPr>
      <w:fldChar w:fldCharType="begin"/>
    </w:r>
    <w:r>
      <w:rPr>
        <w:rFonts w:ascii="Arial" w:eastAsia="Arial" w:hAnsi="Arial"/>
        <w:i/>
        <w:iCs/>
        <w:color w:val="5A5A5A"/>
        <w:sz w:val="18"/>
        <w:szCs w:val="18"/>
      </w:rPr>
      <w:instrText xml:space="preserve"> PAGE </w:instrText>
    </w:r>
    <w:r>
      <w:rPr>
        <w:rFonts w:ascii="Arial" w:eastAsia="Arial" w:hAnsi="Arial"/>
        <w:i/>
        <w:iCs/>
        <w:color w:val="5A5A5A"/>
        <w:sz w:val="18"/>
        <w:szCs w:val="18"/>
      </w:rPr>
      <w:fldChar w:fldCharType="separate"/>
    </w:r>
    <w:r>
      <w:rPr>
        <w:rFonts w:ascii="Arial" w:eastAsia="Arial" w:hAnsi="Arial"/>
        <w:i/>
        <w:iCs/>
        <w:color w:val="5A5A5A"/>
        <w:sz w:val="18"/>
        <w:szCs w:val="18"/>
      </w:rPr>
      <w:t>209</w:t>
    </w:r>
    <w:r>
      <w:rPr>
        <w:rFonts w:ascii="Arial" w:eastAsia="Arial" w:hAnsi="Arial"/>
        <w:i/>
        <w:iCs/>
        <w:color w:val="5A5A5A"/>
        <w:sz w:val="18"/>
        <w:szCs w:val="18"/>
      </w:rPr>
      <w:fldChar w:fldCharType="end"/>
    </w:r>
    <w:r>
      <w:rPr>
        <w:rFonts w:ascii="Calibri" w:hAnsi="Calibri"/>
        <w:color w:val="5A6B66"/>
        <w:sz w:val="16"/>
      </w:rPr>
      <w:tab/>
      <w:t>AUPAM/ARB-cGMP/2026 · Draft for Public Consultation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4D600B" w14:textId="77777777" w:rsidR="00CD5946" w:rsidRDefault="00CD59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F8757E" w14:textId="77777777" w:rsidR="0067368E" w:rsidRDefault="0067368E">
      <w:pPr>
        <w:spacing w:after="0" w:line="240" w:lineRule="auto"/>
      </w:pPr>
      <w:r>
        <w:separator/>
      </w:r>
    </w:p>
  </w:footnote>
  <w:footnote w:type="continuationSeparator" w:id="0">
    <w:p w14:paraId="6A9D27CF" w14:textId="77777777" w:rsidR="0067368E" w:rsidRDefault="006736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71FBD2" w14:textId="77777777" w:rsidR="00CD5946" w:rsidRDefault="00CD59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F49C69" w14:textId="77777777" w:rsidR="00CD5946" w:rsidRDefault="00000000">
    <w:pPr>
      <w:pBdr>
        <w:bottom w:val="single" w:sz="6" w:space="4" w:color="B6892E"/>
      </w:pBdr>
      <w:spacing w:after="0"/>
      <w:jc w:val="right"/>
    </w:pPr>
    <w:r>
      <w:rPr>
        <w:rFonts w:ascii="Calibri" w:hAnsi="Calibri"/>
        <w:color w:val="5A6B66"/>
        <w:sz w:val="16"/>
      </w:rPr>
      <w:t>The Arab GMP Guideline 2026  ·  Consolidated Master  ·  Draft for Public Consultation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97E1B6" w14:textId="77777777" w:rsidR="00CD5946" w:rsidRDefault="00CD59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89F2710"/>
    <w:multiLevelType w:val="multilevel"/>
    <w:tmpl w:val="AED4B068"/>
    <w:lvl w:ilvl="0">
      <w:start w:val="1"/>
      <w:numFmt w:val="bullet"/>
      <w:lvlText w:val=""/>
      <w:lvlJc w:val="left"/>
      <w:pPr>
        <w:tabs>
          <w:tab w:val="num" w:pos="0"/>
        </w:tabs>
        <w:ind w:left="560" w:hanging="28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5046611A"/>
    <w:multiLevelType w:val="multilevel"/>
    <w:tmpl w:val="CFE2B2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2747D99"/>
    <w:multiLevelType w:val="multilevel"/>
    <w:tmpl w:val="47DE840A"/>
    <w:lvl w:ilvl="0">
      <w:start w:val="1"/>
      <w:numFmt w:val="decimal"/>
      <w:lvlText w:val="%1."/>
      <w:lvlJc w:val="left"/>
      <w:pPr>
        <w:tabs>
          <w:tab w:val="num" w:pos="0"/>
        </w:tabs>
        <w:ind w:left="560" w:hanging="34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5CF740CB"/>
    <w:multiLevelType w:val="multilevel"/>
    <w:tmpl w:val="F34E9F8C"/>
    <w:lvl w:ilvl="0">
      <w:start w:val="1"/>
      <w:numFmt w:val="bullet"/>
      <w:lvlText w:val=""/>
      <w:lvlJc w:val="left"/>
      <w:pPr>
        <w:tabs>
          <w:tab w:val="num" w:pos="0"/>
        </w:tabs>
        <w:ind w:left="560" w:hanging="28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7ADD5491"/>
    <w:multiLevelType w:val="multilevel"/>
    <w:tmpl w:val="F9C0045C"/>
    <w:lvl w:ilvl="0">
      <w:start w:val="1"/>
      <w:numFmt w:val="decimal"/>
      <w:lvlText w:val="%1."/>
      <w:lvlJc w:val="left"/>
      <w:pPr>
        <w:tabs>
          <w:tab w:val="num" w:pos="0"/>
        </w:tabs>
        <w:ind w:left="560" w:hanging="34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188572587">
    <w:abstractNumId w:val="3"/>
  </w:num>
  <w:num w:numId="2" w16cid:durableId="106118740">
    <w:abstractNumId w:val="2"/>
  </w:num>
  <w:num w:numId="3" w16cid:durableId="1545364633">
    <w:abstractNumId w:val="0"/>
  </w:num>
  <w:num w:numId="4" w16cid:durableId="203757060">
    <w:abstractNumId w:val="4"/>
  </w:num>
  <w:num w:numId="5" w16cid:durableId="1745906840">
    <w:abstractNumId w:val="1"/>
  </w:num>
  <w:num w:numId="6" w16cid:durableId="1709181452">
    <w:abstractNumId w:val="0"/>
    <w:lvlOverride w:ilvl="0">
      <w:startOverride w:val="1"/>
    </w:lvlOverride>
  </w:num>
  <w:num w:numId="7" w16cid:durableId="318660100">
    <w:abstractNumId w:val="4"/>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9"/>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946"/>
    <w:rsid w:val="0016301E"/>
    <w:rsid w:val="001B1F63"/>
    <w:rsid w:val="00274A27"/>
    <w:rsid w:val="003458E4"/>
    <w:rsid w:val="00492773"/>
    <w:rsid w:val="0067368E"/>
    <w:rsid w:val="00674549"/>
    <w:rsid w:val="00743EAF"/>
    <w:rsid w:val="00AC1103"/>
    <w:rsid w:val="00CD5946"/>
    <w:rsid w:val="00F7422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06B8CEBF"/>
  <w15:docId w15:val="{0522C44C-262F-B043-B906-E0BCF5645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Arial"/>
        <w:sz w:val="21"/>
        <w:szCs w:val="21"/>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69" w:lineRule="auto"/>
    </w:pPr>
    <w:rPr>
      <w:color w:val="1F2421"/>
    </w:rPr>
  </w:style>
  <w:style w:type="paragraph" w:styleId="Heading1">
    <w:name w:val="heading 1"/>
    <w:basedOn w:val="Normal"/>
    <w:next w:val="Normal"/>
    <w:uiPriority w:val="9"/>
    <w:qFormat/>
    <w:pPr>
      <w:spacing w:before="300" w:after="140"/>
      <w:outlineLvl w:val="0"/>
    </w:pPr>
    <w:rPr>
      <w:rFonts w:ascii="Arial" w:eastAsia="Arial" w:hAnsi="Arial"/>
      <w:b/>
      <w:bCs/>
      <w:color w:val="15512F"/>
      <w:sz w:val="30"/>
      <w:szCs w:val="30"/>
    </w:rPr>
  </w:style>
  <w:style w:type="paragraph" w:styleId="Heading2">
    <w:name w:val="heading 2"/>
    <w:basedOn w:val="Normal"/>
    <w:next w:val="Normal"/>
    <w:uiPriority w:val="9"/>
    <w:unhideWhenUsed/>
    <w:qFormat/>
    <w:pPr>
      <w:spacing w:before="200" w:after="90"/>
      <w:outlineLvl w:val="1"/>
    </w:pPr>
    <w:rPr>
      <w:rFonts w:ascii="Arial" w:eastAsia="Arial" w:hAnsi="Arial"/>
      <w:b/>
      <w:bCs/>
      <w:color w:val="15512F"/>
      <w:sz w:val="24"/>
      <w:szCs w:val="24"/>
    </w:rPr>
  </w:style>
  <w:style w:type="paragraph" w:styleId="Heading3">
    <w:name w:val="heading 3"/>
    <w:basedOn w:val="Normal"/>
    <w:next w:val="Normal"/>
    <w:uiPriority w:val="9"/>
    <w:unhideWhenUsed/>
    <w:qFormat/>
    <w:pPr>
      <w:spacing w:before="150" w:after="50"/>
      <w:outlineLvl w:val="2"/>
    </w:pPr>
    <w:rPr>
      <w:rFonts w:ascii="Arial" w:eastAsia="Arial" w:hAnsi="Arial"/>
      <w:b/>
      <w:bCs/>
      <w:color w:val="1A1A1A"/>
      <w:sz w:val="22"/>
      <w:szCs w:val="22"/>
    </w:rPr>
  </w:style>
  <w:style w:type="paragraph" w:styleId="Heading4">
    <w:name w:val="heading 4"/>
    <w:basedOn w:val="Normal"/>
    <w:next w:val="Normal"/>
    <w:uiPriority w:val="9"/>
    <w:semiHidden/>
    <w:unhideWhenUsed/>
    <w:qFormat/>
    <w:pPr>
      <w:outlineLvl w:val="3"/>
    </w:pPr>
    <w:rPr>
      <w:i/>
      <w:iCs/>
      <w:color w:val="2E74B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user">
    <w:name w:val="Footnote Characters (user)"/>
    <w:uiPriority w:val="99"/>
    <w:semiHidden/>
    <w:unhideWhenUsed/>
    <w:qFormat/>
    <w:rPr>
      <w:vertAlign w:val="superscript"/>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user">
    <w:name w:val="Endnote Characters (user)"/>
    <w:uiPriority w:val="99"/>
    <w:semiHidden/>
    <w:unhideWhenUsed/>
    <w:qFormat/>
    <w:rPr>
      <w:vertAlign w:val="superscript"/>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character" w:customStyle="1" w:styleId="IndexLink">
    <w:name w:val="Index Link"/>
    <w:qFormat/>
  </w:style>
  <w:style w:type="paragraph" w:customStyle="1" w:styleId="Heading">
    <w:name w:val="Heading"/>
    <w:basedOn w:val="Normal"/>
    <w:next w:val="BodyText"/>
    <w:qFormat/>
    <w:pPr>
      <w:keepNext/>
      <w:spacing w:before="240"/>
    </w:pPr>
    <w:rPr>
      <w:rFonts w:ascii="Liberation Sans" w:eastAsia="DejaVu Sans" w:hAnsi="Liberation Sans" w:cs="DejaVu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pPr>
    <w:rPr>
      <w:i/>
      <w:iCs/>
      <w:sz w:val="24"/>
      <w:szCs w:val="24"/>
    </w:rPr>
  </w:style>
  <w:style w:type="paragraph" w:customStyle="1" w:styleId="Index">
    <w:name w:val="Index"/>
    <w:basedOn w:val="Normal"/>
    <w:qFormat/>
    <w:pPr>
      <w:suppressLineNumbers/>
    </w:pPr>
  </w:style>
  <w:style w:type="paragraph" w:styleId="Title">
    <w:name w:val="Title"/>
    <w:basedOn w:val="Normal"/>
    <w:next w:val="Normal"/>
    <w:uiPriority w:val="10"/>
    <w:qFormat/>
    <w:pPr>
      <w:keepNext/>
    </w:pPr>
    <w:rPr>
      <w:rFonts w:ascii="Calibri" w:eastAsia="Calibri" w:hAnsi="Calibri"/>
      <w:b/>
      <w:color w:val="0E5A50"/>
      <w:sz w:val="52"/>
      <w:szCs w:val="56"/>
    </w:rPr>
  </w:style>
  <w:style w:type="paragraph" w:customStyle="1" w:styleId="StrongEmphasis">
    <w:name w:val="Strong Emphasis"/>
    <w:basedOn w:val="Normal"/>
    <w:next w:val="Normal"/>
    <w:qFormat/>
    <w:rPr>
      <w:b/>
      <w:bCs/>
    </w:rPr>
  </w:style>
  <w:style w:type="paragraph" w:styleId="ListParagraph">
    <w:name w:val="List Paragraph"/>
    <w:basedOn w:val="Normal"/>
    <w:qFormat/>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EndnoteText">
    <w:name w:val="endnote text"/>
    <w:basedOn w:val="Normal"/>
    <w:link w:val="EndnoteTextChar"/>
    <w:uiPriority w:val="99"/>
    <w:semiHidden/>
    <w:unhideWhenUsed/>
    <w:pPr>
      <w:spacing w:after="0" w:line="240" w:lineRule="auto"/>
    </w:pPr>
    <w:rPr>
      <w:sz w:val="20"/>
      <w:szCs w:val="20"/>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styleId="TOC1">
    <w:name w:val="toc 1"/>
    <w:basedOn w:val="Index"/>
    <w:pPr>
      <w:tabs>
        <w:tab w:val="right" w:leader="dot" w:pos="9360"/>
      </w:tabs>
    </w:pPr>
  </w:style>
  <w:style w:type="paragraph" w:styleId="TOC2">
    <w:name w:val="toc 2"/>
    <w:basedOn w:val="Index"/>
    <w:pPr>
      <w:tabs>
        <w:tab w:val="right" w:leader="dot" w:pos="9077"/>
      </w:tabs>
      <w:ind w:left="283"/>
    </w:pPr>
  </w:style>
  <w:style w:type="paragraph" w:styleId="TOC3">
    <w:name w:val="toc 3"/>
    <w:basedOn w:val="Index"/>
    <w:pPr>
      <w:tabs>
        <w:tab w:val="right" w:leader="dot" w:pos="8793"/>
      </w:tabs>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209</Pages>
  <Words>103207</Words>
  <Characters>599634</Characters>
  <Application>Microsoft Office Word</Application>
  <DocSecurity>0</DocSecurity>
  <Lines>11313</Lines>
  <Paragraphs>7639</Paragraphs>
  <ScaleCrop>false</ScaleCrop>
  <Company/>
  <LinksUpToDate>false</LinksUpToDate>
  <CharactersWithSpaces>695202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Arab GMP Guideline 2026 — Consolidated Master — WORKING DRAFT</dc:title>
  <dc:subject/>
  <dc:creator>AUPAM Experts' Office</dc:creator>
  <dc:description/>
  <cp:lastModifiedBy>saeed.o Abdelrahman</cp:lastModifiedBy>
  <cp:revision>2</cp:revision>
  <dcterms:created xsi:type="dcterms:W3CDTF">2026-08-12T15:12:00Z</dcterms:created>
  <dcterms:modified xsi:type="dcterms:W3CDTF">2026-08-12T15:12:00Z</dcterms:modified>
  <dc:language>en-US</dc:language>
</cp:coreProperties>
</file>